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A4" w:rsidRDefault="002006A4" w:rsidP="002006A4">
      <w:pPr>
        <w:pStyle w:val="1"/>
        <w:numPr>
          <w:ilvl w:val="0"/>
          <w:numId w:val="1"/>
        </w:numPr>
      </w:pPr>
      <w:r>
        <w:t xml:space="preserve">Как оформить социальную пенсию (по старости, по инвалидности, по случаю потери кормильца, детям - оба родителя которых неизвестны) </w:t>
      </w:r>
    </w:p>
    <w:p w:rsidR="002006A4" w:rsidRDefault="002006A4" w:rsidP="002006A4">
      <w:pPr>
        <w:rPr>
          <w:rFonts w:hint="eastAsia"/>
        </w:rPr>
      </w:pPr>
    </w:p>
    <w:p w:rsidR="002006A4" w:rsidRDefault="002006A4" w:rsidP="002006A4">
      <w:pPr>
        <w:pStyle w:val="a4"/>
        <w:rPr>
          <w:rFonts w:hint="eastAsia"/>
        </w:rPr>
      </w:pPr>
      <w:r>
        <w:t>Социальная пенсия назначается нетрудоспособным гражданам, постоянно проживающим в Российской Федерации.</w:t>
      </w:r>
    </w:p>
    <w:p w:rsidR="002006A4" w:rsidRDefault="002006A4" w:rsidP="002006A4">
      <w:pPr>
        <w:pStyle w:val="3"/>
        <w:numPr>
          <w:ilvl w:val="2"/>
          <w:numId w:val="1"/>
        </w:numPr>
      </w:pPr>
      <w:hyperlink r:id="rId5">
        <w:r>
          <w:rPr>
            <w:rStyle w:val="-"/>
          </w:rPr>
          <w:t xml:space="preserve">Кто имеет право на назначение государственной пенсии </w:t>
        </w:r>
      </w:hyperlink>
    </w:p>
    <w:p w:rsidR="002006A4" w:rsidRDefault="002006A4" w:rsidP="002006A4">
      <w:pPr>
        <w:pStyle w:val="a4"/>
        <w:rPr>
          <w:rFonts w:hint="eastAsia"/>
          <w:u w:val="single"/>
        </w:rPr>
      </w:pPr>
      <w:r>
        <w:rPr>
          <w:u w:val="single"/>
        </w:rPr>
        <w:t>Социальная пенсия по инвалидности устанавливается:</w:t>
      </w:r>
    </w:p>
    <w:p w:rsidR="002006A4" w:rsidRDefault="002006A4" w:rsidP="002006A4">
      <w:pPr>
        <w:pStyle w:val="a4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Инвалидам 1, 2 и 3 группы, в том числе инвалидам с детства; </w:t>
      </w:r>
    </w:p>
    <w:p w:rsidR="002006A4" w:rsidRDefault="002006A4" w:rsidP="002006A4">
      <w:pPr>
        <w:pStyle w:val="a4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Детям-инвалидам. </w:t>
      </w:r>
    </w:p>
    <w:p w:rsidR="002006A4" w:rsidRDefault="002006A4" w:rsidP="002006A4">
      <w:pPr>
        <w:pStyle w:val="a4"/>
        <w:rPr>
          <w:rFonts w:hint="eastAsia"/>
          <w:u w:val="single"/>
        </w:rPr>
      </w:pPr>
      <w:r>
        <w:rPr>
          <w:u w:val="single"/>
        </w:rPr>
        <w:t>Социальная пенсия по случаю потери кормильца устанавливается:</w:t>
      </w:r>
    </w:p>
    <w:p w:rsidR="002006A4" w:rsidRDefault="002006A4" w:rsidP="002006A4">
      <w:pPr>
        <w:pStyle w:val="a4"/>
        <w:numPr>
          <w:ilvl w:val="0"/>
          <w:numId w:val="3"/>
        </w:numPr>
        <w:tabs>
          <w:tab w:val="left" w:pos="0"/>
        </w:tabs>
        <w:rPr>
          <w:rFonts w:hint="eastAsia"/>
        </w:rPr>
      </w:pPr>
      <w:r>
        <w:t xml:space="preserve"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 </w:t>
      </w:r>
    </w:p>
    <w:p w:rsidR="002006A4" w:rsidRDefault="002006A4" w:rsidP="002006A4">
      <w:pPr>
        <w:pStyle w:val="a4"/>
        <w:rPr>
          <w:rFonts w:hint="eastAsia"/>
          <w:u w:val="single"/>
        </w:rPr>
      </w:pPr>
      <w:r>
        <w:rPr>
          <w:u w:val="single"/>
        </w:rPr>
        <w:t>Социальная пенсия детям, оба родителя которых неизвестны, устанавливается:</w:t>
      </w:r>
    </w:p>
    <w:p w:rsidR="002006A4" w:rsidRDefault="002006A4" w:rsidP="002006A4">
      <w:pPr>
        <w:pStyle w:val="a4"/>
        <w:numPr>
          <w:ilvl w:val="0"/>
          <w:numId w:val="4"/>
        </w:numPr>
        <w:tabs>
          <w:tab w:val="left" w:pos="0"/>
        </w:tabs>
        <w:rPr>
          <w:rFonts w:hint="eastAsia"/>
        </w:rPr>
      </w:pPr>
      <w:r>
        <w:t>Детям,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2006A4" w:rsidRDefault="002006A4" w:rsidP="002006A4">
      <w:pPr>
        <w:pStyle w:val="a4"/>
        <w:numPr>
          <w:ilvl w:val="0"/>
          <w:numId w:val="4"/>
        </w:numPr>
        <w:tabs>
          <w:tab w:val="left" w:pos="0"/>
        </w:tabs>
        <w:rPr>
          <w:rFonts w:hint="eastAsia"/>
        </w:rPr>
      </w:pPr>
      <w:r>
        <w:t>Найденным (подкинутым) детям или детям, оставленным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</w:p>
    <w:p w:rsidR="002006A4" w:rsidRDefault="002006A4" w:rsidP="002006A4">
      <w:pPr>
        <w:pStyle w:val="a4"/>
        <w:rPr>
          <w:rFonts w:hint="eastAsia"/>
          <w:u w:val="single"/>
        </w:rPr>
      </w:pPr>
      <w:r>
        <w:rPr>
          <w:u w:val="single"/>
        </w:rPr>
        <w:t>Социальная пенсия по старости устанавливается:</w:t>
      </w:r>
    </w:p>
    <w:p w:rsidR="002006A4" w:rsidRDefault="002006A4" w:rsidP="002006A4">
      <w:pPr>
        <w:pStyle w:val="a4"/>
        <w:numPr>
          <w:ilvl w:val="0"/>
          <w:numId w:val="5"/>
        </w:numPr>
        <w:tabs>
          <w:tab w:val="left" w:pos="0"/>
        </w:tabs>
        <w:spacing w:after="0"/>
        <w:rPr>
          <w:rFonts w:hint="eastAsia"/>
        </w:rPr>
      </w:pPr>
      <w:r>
        <w:t xml:space="preserve">Гражданам из числа малочисленных народов Севера, достигшим возраста 55 и 50 лет (соответственно мужчины и женщины), постоянно проживающие в районах проживания малочисленных народов Севера на день назначения </w:t>
      </w:r>
      <w:proofErr w:type="spellStart"/>
      <w:r>
        <w:t>пенсии;Гражданам</w:t>
      </w:r>
      <w:proofErr w:type="spellEnd"/>
      <w:r>
        <w:t xml:space="preserve"> Российской Федерации, достигшим 70 и 65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 </w:t>
      </w:r>
    </w:p>
    <w:p w:rsidR="002006A4" w:rsidRDefault="002006A4" w:rsidP="002006A4">
      <w:pPr>
        <w:pStyle w:val="a4"/>
        <w:numPr>
          <w:ilvl w:val="0"/>
          <w:numId w:val="5"/>
        </w:numPr>
        <w:tabs>
          <w:tab w:val="left" w:pos="0"/>
        </w:tabs>
        <w:rPr>
          <w:rFonts w:hint="eastAsia"/>
        </w:rPr>
      </w:pPr>
      <w:r>
        <w:t xml:space="preserve">Факт оплачиваемой трудовой деятельности на выплату социальной пенсии не влияет, за исключением социальной пенсии, назначенной гражданам, достигшим </w:t>
      </w:r>
      <w:r>
        <w:lastRenderedPageBreak/>
        <w:t xml:space="preserve">возраста 65 и 60 лет (соответственно мужчины и женщины). </w:t>
      </w:r>
    </w:p>
    <w:p w:rsidR="002006A4" w:rsidRDefault="002006A4" w:rsidP="002006A4">
      <w:pPr>
        <w:pStyle w:val="3"/>
      </w:pPr>
      <w:hyperlink r:id="rId6">
        <w:r>
          <w:rPr>
            <w:rStyle w:val="-"/>
          </w:rPr>
          <w:t xml:space="preserve">Куда обратиться </w:t>
        </w:r>
      </w:hyperlink>
    </w:p>
    <w:p w:rsidR="002006A4" w:rsidRDefault="002006A4" w:rsidP="002006A4">
      <w:pPr>
        <w:pStyle w:val="a4"/>
        <w:rPr>
          <w:rFonts w:hint="eastAsia"/>
        </w:rPr>
      </w:pPr>
      <w:r>
        <w:t>Граждане могут обратиться за назначением пенсии в любое время после возникновения права на нее. Заявление о назначении пенсии может быть подано  в территориальный орган Пенсионного фонда России по месту жительства либо  по месту пребывания либо по месту фактического проживания гражданина, либо в многофункциональный центр (далее – МФЦ),  либо по почте .</w:t>
      </w:r>
    </w:p>
    <w:p w:rsidR="002006A4" w:rsidRDefault="002006A4" w:rsidP="002006A4">
      <w:pPr>
        <w:pStyle w:val="a4"/>
        <w:rPr>
          <w:rFonts w:hint="eastAsia"/>
        </w:rPr>
      </w:pPr>
      <w:r>
        <w:t>Заявление  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или через «</w:t>
      </w:r>
      <w:hyperlink r:id="rId7">
        <w:r>
          <w:rPr>
            <w:rStyle w:val="-"/>
          </w:rPr>
          <w:t>Единый портал государственных и муниципальных услуг</w:t>
        </w:r>
      </w:hyperlink>
      <w:r>
        <w:t xml:space="preserve"> (функций)».</w:t>
      </w:r>
    </w:p>
    <w:p w:rsidR="002006A4" w:rsidRDefault="002006A4" w:rsidP="002006A4">
      <w:pPr>
        <w:pStyle w:val="a4"/>
        <w:rPr>
          <w:rFonts w:hint="eastAsia"/>
        </w:rPr>
      </w:pPr>
      <w:r>
        <w:t>Днем обращения за пенсией является день приема заявления о назначении пенсии.</w:t>
      </w:r>
    </w:p>
    <w:p w:rsidR="002006A4" w:rsidRDefault="002006A4" w:rsidP="002006A4">
      <w:pPr>
        <w:pStyle w:val="a4"/>
        <w:rPr>
          <w:rFonts w:hint="eastAsia"/>
        </w:rPr>
      </w:pPr>
      <w:r>
        <w:t>При подаче заявления о назначении:</w:t>
      </w:r>
    </w:p>
    <w:p w:rsidR="002006A4" w:rsidRDefault="002006A4" w:rsidP="002006A4">
      <w:pPr>
        <w:pStyle w:val="a4"/>
        <w:numPr>
          <w:ilvl w:val="0"/>
          <w:numId w:val="6"/>
        </w:numPr>
        <w:tabs>
          <w:tab w:val="left" w:pos="0"/>
        </w:tabs>
        <w:rPr>
          <w:rFonts w:hint="eastAsia"/>
        </w:rPr>
      </w:pPr>
      <w:r>
        <w:t>лично (представителем, через работодателя) днем обращения за  пенсией  является день приема территориальным органом ПФР заявления;</w:t>
      </w:r>
    </w:p>
    <w:p w:rsidR="002006A4" w:rsidRDefault="002006A4" w:rsidP="002006A4">
      <w:pPr>
        <w:pStyle w:val="a4"/>
        <w:numPr>
          <w:ilvl w:val="0"/>
          <w:numId w:val="6"/>
        </w:numPr>
        <w:tabs>
          <w:tab w:val="left" w:pos="0"/>
        </w:tabs>
        <w:rPr>
          <w:rFonts w:hint="eastAsia"/>
        </w:rPr>
      </w:pPr>
      <w:r>
        <w:t>по почте - днем обращения за  пенсией  считается дата, которая указана на почтовом штемпеле по месту отправления заявления;</w:t>
      </w:r>
    </w:p>
    <w:p w:rsidR="002006A4" w:rsidRDefault="002006A4" w:rsidP="002006A4">
      <w:pPr>
        <w:pStyle w:val="a4"/>
        <w:numPr>
          <w:ilvl w:val="0"/>
          <w:numId w:val="6"/>
        </w:numPr>
        <w:tabs>
          <w:tab w:val="left" w:pos="0"/>
        </w:tabs>
        <w:rPr>
          <w:rFonts w:hint="eastAsia"/>
        </w:rPr>
      </w:pPr>
      <w:r>
        <w:t> через МФЦ – днем обращения за  пенсией  считается  дата приема заявления МФЦ;</w:t>
      </w:r>
    </w:p>
    <w:p w:rsidR="002006A4" w:rsidRDefault="002006A4" w:rsidP="002006A4">
      <w:pPr>
        <w:pStyle w:val="a4"/>
        <w:numPr>
          <w:ilvl w:val="0"/>
          <w:numId w:val="6"/>
        </w:numPr>
        <w:tabs>
          <w:tab w:val="left" w:pos="0"/>
        </w:tabs>
        <w:rPr>
          <w:rFonts w:hint="eastAsia"/>
        </w:rPr>
      </w:pPr>
      <w:r>
        <w:t>через «</w:t>
      </w:r>
      <w:hyperlink r:id="rId8">
        <w:r>
          <w:rPr>
            <w:rStyle w:val="-"/>
          </w:rPr>
          <w:t>Личный кабинет гражданина</w:t>
        </w:r>
      </w:hyperlink>
      <w:r>
        <w:t>» на официальном сайте ПФР, через «</w:t>
      </w:r>
      <w:hyperlink r:id="rId9">
        <w:r>
          <w:rPr>
            <w:rStyle w:val="-"/>
          </w:rPr>
          <w:t>Единый портал государственных и муниципальных услуг</w:t>
        </w:r>
      </w:hyperlink>
      <w:r>
        <w:t xml:space="preserve"> (функций)» -  днем обращения за пенсией считается дата подачи заявления в форме электронного документа.</w:t>
      </w:r>
    </w:p>
    <w:p w:rsidR="002006A4" w:rsidRDefault="002006A4" w:rsidP="002006A4">
      <w:pPr>
        <w:pStyle w:val="3"/>
      </w:pPr>
      <w:hyperlink r:id="rId10">
        <w:r>
          <w:rPr>
            <w:rStyle w:val="-"/>
          </w:rPr>
          <w:t xml:space="preserve">Какие документы представить </w:t>
        </w:r>
      </w:hyperlink>
    </w:p>
    <w:p w:rsidR="002006A4" w:rsidRDefault="002006A4" w:rsidP="002006A4">
      <w:pPr>
        <w:pStyle w:val="a4"/>
        <w:rPr>
          <w:rFonts w:hint="eastAsia"/>
        </w:rPr>
      </w:pPr>
      <w:r>
        <w:t>К заявлению о назначении социальной пенсии представляются:</w:t>
      </w:r>
    </w:p>
    <w:p w:rsidR="002006A4" w:rsidRDefault="002006A4" w:rsidP="002006A4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Fonts w:hint="eastAsia"/>
        </w:rPr>
      </w:pPr>
      <w:r>
        <w:t xml:space="preserve">документ, удостоверяющий личность (паспорт гражданина Российской Федерации, вид на жительство иностранного гражданина (лица без гражданства); </w:t>
      </w:r>
    </w:p>
    <w:p w:rsidR="002006A4" w:rsidRDefault="002006A4" w:rsidP="002006A4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Fonts w:hint="eastAsia"/>
        </w:rPr>
      </w:pPr>
      <w:r>
        <w:t xml:space="preserve">другие документы, необходимые для подтверждения дополнительных обстоятельств; </w:t>
      </w:r>
    </w:p>
    <w:p w:rsidR="002006A4" w:rsidRDefault="002006A4" w:rsidP="002006A4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rFonts w:hint="eastAsia"/>
        </w:rPr>
      </w:pPr>
      <w:r>
        <w:t xml:space="preserve">свидетельство о рождении ребенка, в котором отсутствуют сведения об обоих родителях, или документ органа записи актов гражданского состояния, содержащий такие сведения; </w:t>
      </w:r>
    </w:p>
    <w:p w:rsidR="002006A4" w:rsidRDefault="002006A4" w:rsidP="002006A4">
      <w:pPr>
        <w:pStyle w:val="a4"/>
        <w:numPr>
          <w:ilvl w:val="0"/>
          <w:numId w:val="7"/>
        </w:numPr>
        <w:tabs>
          <w:tab w:val="left" w:pos="0"/>
        </w:tabs>
        <w:rPr>
          <w:rFonts w:hint="eastAsia"/>
        </w:rPr>
      </w:pPr>
      <w: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2006A4" w:rsidRDefault="002006A4" w:rsidP="002006A4">
      <w:pPr>
        <w:pStyle w:val="a4"/>
        <w:rPr>
          <w:rFonts w:hint="eastAsia"/>
        </w:rPr>
      </w:pPr>
      <w:hyperlink r:id="rId11">
        <w:r>
          <w:rPr>
            <w:rStyle w:val="-"/>
          </w:rPr>
          <w:t xml:space="preserve">Перечень документов для назначения социальной пенсии </w:t>
        </w:r>
      </w:hyperlink>
    </w:p>
    <w:p w:rsidR="002006A4" w:rsidRDefault="002006A4" w:rsidP="002006A4">
      <w:pPr>
        <w:pStyle w:val="a4"/>
        <w:rPr>
          <w:rFonts w:hint="eastAsia"/>
        </w:rPr>
      </w:pPr>
      <w:hyperlink r:id="rId12">
        <w:r>
          <w:rPr>
            <w:rStyle w:val="-"/>
          </w:rPr>
          <w:t>Бланк заявления на назначение социальной пенсии</w:t>
        </w:r>
      </w:hyperlink>
    </w:p>
    <w:p w:rsidR="002006A4" w:rsidRDefault="002006A4" w:rsidP="002006A4">
      <w:pPr>
        <w:pStyle w:val="a4"/>
        <w:rPr>
          <w:rFonts w:hint="eastAsia"/>
        </w:rPr>
      </w:pPr>
      <w:hyperlink r:id="rId13">
        <w:r>
          <w:rPr>
            <w:rStyle w:val="-"/>
          </w:rPr>
          <w:t>Правила заполнения заявления о назначении социальной пенсии</w:t>
        </w:r>
      </w:hyperlink>
    </w:p>
    <w:p w:rsidR="002006A4" w:rsidRDefault="002006A4" w:rsidP="002006A4">
      <w:pPr>
        <w:pStyle w:val="3"/>
        <w:numPr>
          <w:ilvl w:val="2"/>
          <w:numId w:val="1"/>
        </w:numPr>
      </w:pPr>
      <w:hyperlink r:id="rId14">
        <w:r>
          <w:rPr>
            <w:rStyle w:val="-"/>
          </w:rPr>
          <w:t xml:space="preserve">Условия назначения </w:t>
        </w:r>
      </w:hyperlink>
    </w:p>
    <w:p w:rsidR="002006A4" w:rsidRDefault="002006A4" w:rsidP="002006A4">
      <w:pPr>
        <w:pStyle w:val="a4"/>
        <w:rPr>
          <w:rFonts w:hint="eastAsia"/>
        </w:rPr>
      </w:pPr>
      <w:r>
        <w:rPr>
          <w:rStyle w:val="a3"/>
        </w:rPr>
        <w:t>Условия назначения социальной пенсии:</w:t>
      </w:r>
    </w:p>
    <w:p w:rsidR="002006A4" w:rsidRDefault="002006A4" w:rsidP="002006A4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Fonts w:hint="eastAsia"/>
        </w:rPr>
      </w:pPr>
      <w:r>
        <w:t xml:space="preserve">постоянное проживание на территории Российской Федерации; </w:t>
      </w:r>
    </w:p>
    <w:p w:rsidR="002006A4" w:rsidRDefault="002006A4" w:rsidP="002006A4">
      <w:pPr>
        <w:pStyle w:val="a4"/>
        <w:numPr>
          <w:ilvl w:val="0"/>
          <w:numId w:val="8"/>
        </w:numPr>
        <w:tabs>
          <w:tab w:val="left" w:pos="0"/>
        </w:tabs>
        <w:rPr>
          <w:rFonts w:hint="eastAsia"/>
        </w:rPr>
      </w:pPr>
      <w:r>
        <w:t xml:space="preserve">принадлежность к категории «нетрудоспособные граждане». </w:t>
      </w:r>
    </w:p>
    <w:p w:rsidR="002006A4" w:rsidRDefault="002006A4" w:rsidP="002006A4">
      <w:pPr>
        <w:pStyle w:val="3"/>
      </w:pPr>
      <w:hyperlink r:id="rId15">
        <w:r>
          <w:rPr>
            <w:rStyle w:val="-"/>
          </w:rPr>
          <w:t xml:space="preserve">Сроки назначения </w:t>
        </w:r>
      </w:hyperlink>
    </w:p>
    <w:p w:rsidR="002006A4" w:rsidRDefault="002006A4" w:rsidP="002006A4">
      <w:pPr>
        <w:pStyle w:val="a4"/>
        <w:rPr>
          <w:rFonts w:hint="eastAsia"/>
        </w:rPr>
      </w:pPr>
      <w:r>
        <w:t>Пенсия по государственному пенсионному обеспечению, независимо от ее вида назначается с 1-го числа месяца, в котором гражданин обратился за ней, но не ранее чем со дня возникновения права на нее. За исключением:</w:t>
      </w:r>
    </w:p>
    <w:p w:rsidR="002006A4" w:rsidRDefault="002006A4" w:rsidP="002006A4">
      <w:pPr>
        <w:pStyle w:val="a4"/>
        <w:numPr>
          <w:ilvl w:val="0"/>
          <w:numId w:val="9"/>
        </w:numPr>
        <w:tabs>
          <w:tab w:val="left" w:pos="0"/>
        </w:tabs>
        <w:spacing w:after="0"/>
        <w:rPr>
          <w:rFonts w:hint="eastAsia"/>
        </w:rPr>
      </w:pPr>
      <w:r>
        <w:t xml:space="preserve">случаев, когда установлена социальная пенсия по инвалидности гражданам из числа инвалидов с детства, не достигшим возраста 19 лет, которые ранее получали социальную пенсию по инвалидности, предусмотренную для детей-инвалидов и выплата которой была прекращена в связи с достижением 18 лет; </w:t>
      </w:r>
    </w:p>
    <w:p w:rsidR="002006A4" w:rsidRDefault="002006A4" w:rsidP="002006A4">
      <w:pPr>
        <w:pStyle w:val="a4"/>
        <w:numPr>
          <w:ilvl w:val="0"/>
          <w:numId w:val="9"/>
        </w:numPr>
        <w:tabs>
          <w:tab w:val="left" w:pos="0"/>
        </w:tabs>
        <w:rPr>
          <w:rFonts w:hint="eastAsia"/>
        </w:rPr>
      </w:pPr>
      <w:r>
        <w:t xml:space="preserve">случаев, когда установлена социальная пенсия по старости гражданам, достигшим 65 и 60 лет (соответственно мужчины и женщины), которые ранее получали страховую пенсию по инвалидности и выплата которой была прекращена в связи с достижением указанного возраста. </w:t>
      </w:r>
    </w:p>
    <w:p w:rsidR="002006A4" w:rsidRDefault="002006A4" w:rsidP="002006A4">
      <w:pPr>
        <w:pStyle w:val="a4"/>
        <w:rPr>
          <w:rFonts w:hint="eastAsia"/>
        </w:rPr>
      </w:pPr>
      <w:r>
        <w:t>Социальная пенсия по старости устанавливается бессрочно. Социальная пенсия по инвалидности устанавливается на срок, в течение которого соответствующее лицо признано инвалидом, в том числе бессрочно.</w:t>
      </w:r>
      <w:r>
        <w:br/>
        <w:t>Социальная пенсия по случаю потери кормильца устанавливается на весь период, в течение которого член семьи умершего считается нетрудоспособным, в том числе бессрочно.</w:t>
      </w:r>
    </w:p>
    <w:p w:rsidR="009C59CB" w:rsidRDefault="009C59CB"/>
    <w:sectPr w:rsidR="009C59CB" w:rsidSect="00200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3"/>
    <w:multiLevelType w:val="multilevel"/>
    <w:tmpl w:val="48762F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AC436CE"/>
    <w:multiLevelType w:val="multilevel"/>
    <w:tmpl w:val="758012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B992D40"/>
    <w:multiLevelType w:val="multilevel"/>
    <w:tmpl w:val="602CE7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15D52FBD"/>
    <w:multiLevelType w:val="multilevel"/>
    <w:tmpl w:val="2294FB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2C1E420B"/>
    <w:multiLevelType w:val="multilevel"/>
    <w:tmpl w:val="E5C8D7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6B758F0"/>
    <w:multiLevelType w:val="multilevel"/>
    <w:tmpl w:val="5B08BF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3962245B"/>
    <w:multiLevelType w:val="multilevel"/>
    <w:tmpl w:val="FB28D3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3F305C9D"/>
    <w:multiLevelType w:val="multilevel"/>
    <w:tmpl w:val="7CA09BB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52182E89"/>
    <w:multiLevelType w:val="multilevel"/>
    <w:tmpl w:val="939C60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6A4"/>
    <w:rsid w:val="002006A4"/>
    <w:rsid w:val="009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2006A4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3">
    <w:name w:val="heading 3"/>
    <w:basedOn w:val="a"/>
    <w:link w:val="30"/>
    <w:rsid w:val="002006A4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6A4"/>
    <w:rPr>
      <w:rFonts w:ascii="Liberation Sans" w:eastAsia="Microsoft YaHei" w:hAnsi="Liberation Sans" w:cs="Mangal"/>
      <w:b/>
      <w:bCs/>
      <w:color w:val="00000A"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2006A4"/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character" w:customStyle="1" w:styleId="-">
    <w:name w:val="Интернет-ссылка"/>
    <w:rsid w:val="002006A4"/>
    <w:rPr>
      <w:color w:val="000080"/>
      <w:u w:val="single"/>
    </w:rPr>
  </w:style>
  <w:style w:type="character" w:customStyle="1" w:styleId="a3">
    <w:name w:val="Выделение жирным"/>
    <w:rsid w:val="002006A4"/>
    <w:rPr>
      <w:b/>
      <w:bCs/>
    </w:rPr>
  </w:style>
  <w:style w:type="paragraph" w:styleId="a4">
    <w:name w:val="Body Text"/>
    <w:basedOn w:val="a"/>
    <w:link w:val="a5"/>
    <w:rsid w:val="002006A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006A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www.pfrf.ru/files/id/zhiznsit/pens/Pravila_zapolneniya_zayavleniya_o_naznachenii_S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://www.pfrf.ru/files/id/zhiznsit/pens/2015/Zayavlenie_o_naznachenii_SP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45" TargetMode="External"/><Relationship Id="rId11" Type="http://schemas.openxmlformats.org/officeDocument/2006/relationships/hyperlink" Target="http://www.pfrf.ru/files/id/zhiznsit/pens/2015/Dokumenty_sotsial_pens.doc" TargetMode="External"/><Relationship Id="rId5" Type="http://schemas.openxmlformats.org/officeDocument/2006/relationships/hyperlink" Target="http://www.pfrf.ru/knopki/zhizn/~445" TargetMode="External"/><Relationship Id="rId15" Type="http://schemas.openxmlformats.org/officeDocument/2006/relationships/hyperlink" Target="http://www.pfrf.ru/knopki/zhizn/~445" TargetMode="External"/><Relationship Id="rId10" Type="http://schemas.openxmlformats.org/officeDocument/2006/relationships/hyperlink" Target="http://www.pfrf.ru/knopki/zhizn/~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www.pfrf.ru/knopki/zhizn/~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2019-04-12T07:15:00Z</dcterms:created>
  <dcterms:modified xsi:type="dcterms:W3CDTF">2019-04-12T07:17:00Z</dcterms:modified>
</cp:coreProperties>
</file>