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E" w:rsidRPr="00772E3E" w:rsidRDefault="00772E3E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772E3E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Памятка </w:t>
      </w:r>
      <w:r w:rsidR="001F6F7B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о порядке </w:t>
      </w:r>
      <w:hyperlink r:id="rId7" w:tooltip="Как оформить земельный участок в собственность — порядок оформления" w:history="1">
        <w:r w:rsidR="001F6F7B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>регистрации</w:t>
        </w:r>
        <w:r w:rsidR="00283507" w:rsidRPr="00283507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 xml:space="preserve"> </w:t>
        </w:r>
        <w:r w:rsidR="00283507" w:rsidRPr="00772E3E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 xml:space="preserve"> </w:t>
        </w:r>
        <w:r w:rsidR="00283507" w:rsidRPr="00283507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>прав на земельны</w:t>
        </w:r>
        <w:r w:rsidR="001F6F7B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>е</w:t>
        </w:r>
        <w:r w:rsidR="00283507" w:rsidRPr="00283507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 xml:space="preserve"> участ</w:t>
        </w:r>
        <w:r w:rsidR="001F6F7B">
          <w:rPr>
            <w:rFonts w:ascii="Times New Roman" w:eastAsia="Times New Roman" w:hAnsi="Times New Roman" w:cs="Times New Roman"/>
            <w:b/>
            <w:color w:val="494989"/>
            <w:sz w:val="40"/>
            <w:szCs w:val="40"/>
            <w:lang w:eastAsia="ru-RU"/>
          </w:rPr>
          <w:t>ки</w:t>
        </w:r>
      </w:hyperlink>
    </w:p>
    <w:p w:rsidR="00283507" w:rsidRPr="00283507" w:rsidRDefault="00772E3E" w:rsidP="001F6F7B">
      <w:pPr>
        <w:spacing w:after="150" w:line="240" w:lineRule="auto"/>
        <w:ind w:left="-567"/>
        <w:jc w:val="both"/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</w:t>
      </w:r>
      <w:r w:rsidR="001F6F7B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  </w:t>
      </w:r>
      <w:r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</w:t>
      </w:r>
      <w:hyperlink r:id="rId8" w:tooltip="Как оформить земельный участок в собственность — порядок оформления" w:history="1">
        <w:proofErr w:type="spellStart"/>
        <w:r w:rsidR="00283507" w:rsidRPr="00283507">
          <w:rPr>
            <w:rFonts w:ascii="PT Sans" w:eastAsia="Times New Roman" w:hAnsi="PT Sans" w:cs="Helvetica"/>
            <w:color w:val="494989"/>
            <w:sz w:val="28"/>
            <w:szCs w:val="28"/>
            <w:lang w:eastAsia="ru-RU"/>
          </w:rPr>
          <w:t>Госрегистрация</w:t>
        </w:r>
        <w:proofErr w:type="spellEnd"/>
        <w:r w:rsidR="00283507" w:rsidRPr="00283507">
          <w:rPr>
            <w:rFonts w:ascii="PT Sans" w:eastAsia="Times New Roman" w:hAnsi="PT Sans" w:cs="Helvetica"/>
            <w:color w:val="494989"/>
            <w:sz w:val="28"/>
            <w:szCs w:val="28"/>
            <w:lang w:eastAsia="ru-RU"/>
          </w:rPr>
          <w:t xml:space="preserve">  прав на земельный участок</w:t>
        </w:r>
      </w:hyperlink>
      <w:r w:rsidR="00283507" w:rsidRPr="00283507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является юридическим актом признания и подтверждения государством возникновения, ограничения (обременения), перехода или прекращения прав на него определенного лица. </w:t>
      </w:r>
      <w:r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  </w:t>
      </w:r>
      <w:r w:rsidR="001F6F7B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                       </w:t>
      </w:r>
      <w:r w:rsidR="00B16423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  </w:t>
      </w:r>
      <w:proofErr w:type="spellStart"/>
      <w:r w:rsidR="00283507" w:rsidRPr="00283507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>Госрегистрация</w:t>
      </w:r>
      <w:proofErr w:type="spellEnd"/>
      <w:r w:rsidR="00283507" w:rsidRPr="00283507">
        <w:rPr>
          <w:rFonts w:ascii="PT Sans" w:eastAsia="Times New Roman" w:hAnsi="PT Sans" w:cs="Helvetica"/>
          <w:color w:val="555555"/>
          <w:sz w:val="28"/>
          <w:szCs w:val="28"/>
          <w:lang w:eastAsia="ru-RU"/>
        </w:rPr>
        <w:t xml:space="preserve"> является единственным доказательством существования зарегистрированного права на участок земли. Зарегистрированное право на землю может быть оспорено только в судебном порядке.</w:t>
      </w:r>
    </w:p>
    <w:p w:rsidR="00283507" w:rsidRPr="00283507" w:rsidRDefault="00283507" w:rsidP="00B16423">
      <w:pPr>
        <w:tabs>
          <w:tab w:val="left" w:pos="0"/>
        </w:tabs>
        <w:spacing w:before="300" w:after="150" w:line="240" w:lineRule="auto"/>
        <w:ind w:left="-709"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3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Участники отношений при </w:t>
      </w:r>
      <w:proofErr w:type="spellStart"/>
      <w:r w:rsidRPr="00283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госрегистрации</w:t>
      </w:r>
      <w:proofErr w:type="spellEnd"/>
    </w:p>
    <w:p w:rsidR="00283507" w:rsidRPr="00283507" w:rsidRDefault="00772E3E" w:rsidP="00B16423">
      <w:pPr>
        <w:tabs>
          <w:tab w:val="left" w:pos="0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 </w:t>
      </w:r>
      <w:r w:rsidR="00B16423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егистрацию осуществляют лица, являющиеся собственниками или обладателями иных прав на земельный участок, другие лица в предусмотренных Ф</w:t>
      </w:r>
      <w:r w:rsidR="00CA05B9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едеральным законом от 13.07.2015г.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№ 218</w:t>
      </w:r>
      <w:r w:rsidR="00CA05B9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-ФЗ «О государственной регистрации недвижимости» </w:t>
      </w:r>
      <w:bookmarkStart w:id="0" w:name="_GoBack"/>
      <w:bookmarkEnd w:id="0"/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случаях, с одной стороны, и государственный орган регистрации прав — с другой.</w:t>
      </w:r>
    </w:p>
    <w:p w:rsidR="00935DCE" w:rsidRDefault="00772E3E" w:rsidP="00B16423">
      <w:pPr>
        <w:tabs>
          <w:tab w:val="left" w:pos="0"/>
        </w:tabs>
        <w:spacing w:after="150"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 </w:t>
      </w:r>
      <w:proofErr w:type="spellStart"/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Госрегистрация</w:t>
      </w:r>
      <w:proofErr w:type="spellEnd"/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прав на земельные участки проводится в отделениях федеральной службы </w:t>
      </w:r>
      <w:proofErr w:type="spellStart"/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Росреестра</w:t>
      </w:r>
      <w:proofErr w:type="spellEnd"/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или через многофункциональные центры на местах.</w:t>
      </w:r>
    </w:p>
    <w:p w:rsidR="00283507" w:rsidRPr="00283507" w:rsidRDefault="00283507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3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Основания для </w:t>
      </w:r>
      <w:proofErr w:type="spellStart"/>
      <w:r w:rsidRPr="00283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госрегистрации</w:t>
      </w:r>
      <w:proofErr w:type="spellEnd"/>
    </w:p>
    <w:p w:rsidR="00283507" w:rsidRPr="00283507" w:rsidRDefault="00772E3E" w:rsidP="00B16423">
      <w:pPr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Регистрация прав на земельный участок проводится на основании заявления лица и представленных в законном порядке в орган регистрации прав документов.</w:t>
      </w:r>
    </w:p>
    <w:p w:rsidR="00283507" w:rsidRPr="00283507" w:rsidRDefault="00772E3E" w:rsidP="00B16423">
      <w:pPr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Действующее законодательство предусматривает следующие виды прав на земельные участки:</w:t>
      </w:r>
    </w:p>
    <w:p w:rsidR="00283507" w:rsidRPr="00935DCE" w:rsidRDefault="00CA05B9" w:rsidP="00B16423">
      <w:pPr>
        <w:pStyle w:val="a5"/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hyperlink r:id="rId9" w:tooltip="Как оформить дачу в собственность — особенности оформления права собственности" w:history="1">
        <w:r w:rsidR="00283507" w:rsidRPr="00935DCE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право собственности</w:t>
        </w:r>
      </w:hyperlink>
      <w:r w:rsidR="00283507" w:rsidRPr="00935DCE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;</w:t>
      </w:r>
    </w:p>
    <w:p w:rsidR="00283507" w:rsidRPr="00283507" w:rsidRDefault="00283507" w:rsidP="00B16423">
      <w:pPr>
        <w:numPr>
          <w:ilvl w:val="0"/>
          <w:numId w:val="2"/>
        </w:numPr>
        <w:tabs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 постоянного (бессрочного) пользования;</w:t>
      </w:r>
    </w:p>
    <w:p w:rsidR="00283507" w:rsidRPr="00283507" w:rsidRDefault="00283507" w:rsidP="00B16423">
      <w:pPr>
        <w:numPr>
          <w:ilvl w:val="0"/>
          <w:numId w:val="2"/>
        </w:numPr>
        <w:tabs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 пожизненного наследуемого владения;</w:t>
      </w:r>
    </w:p>
    <w:p w:rsidR="00283507" w:rsidRPr="00283507" w:rsidRDefault="00CA05B9" w:rsidP="00B16423">
      <w:pPr>
        <w:numPr>
          <w:ilvl w:val="0"/>
          <w:numId w:val="2"/>
        </w:numPr>
        <w:tabs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hyperlink r:id="rId10" w:tooltip="Аренда земельных участков находящихся в муниципальной собственности" w:history="1">
        <w:r w:rsidR="00283507"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право аренды</w:t>
        </w:r>
      </w:hyperlink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;</w:t>
      </w:r>
    </w:p>
    <w:p w:rsidR="00283507" w:rsidRPr="00283507" w:rsidRDefault="00283507" w:rsidP="00B16423">
      <w:pPr>
        <w:numPr>
          <w:ilvl w:val="0"/>
          <w:numId w:val="2"/>
        </w:numPr>
        <w:tabs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 безвозмездного срочного пользования;</w:t>
      </w:r>
    </w:p>
    <w:p w:rsidR="00283507" w:rsidRDefault="00283507" w:rsidP="00B16423">
      <w:pPr>
        <w:numPr>
          <w:ilvl w:val="0"/>
          <w:numId w:val="2"/>
        </w:numPr>
        <w:tabs>
          <w:tab w:val="left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 ограниченного пользования чужим земельным участком (сервитут).</w:t>
      </w:r>
    </w:p>
    <w:p w:rsidR="00772E3E" w:rsidRPr="00283507" w:rsidRDefault="00772E3E" w:rsidP="001F6F7B">
      <w:pPr>
        <w:spacing w:line="240" w:lineRule="auto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</w:p>
    <w:p w:rsidR="00283507" w:rsidRPr="00283507" w:rsidRDefault="00283507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список возможных оснований, по которым может быть </w:t>
      </w:r>
      <w:proofErr w:type="gramStart"/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проведена</w:t>
      </w:r>
      <w:proofErr w:type="gramEnd"/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госрегистрация</w:t>
      </w:r>
      <w:proofErr w:type="spellEnd"/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прав на землю, входят: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акты органов государственной или местной власти, устанавливающие наличие, возникновение, переход, прекращение, ограничение (обременение) права на земельный участок;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договоры, подтверждающие совершение гражданских сделок в отношении участка земли (например, </w:t>
      </w:r>
      <w:hyperlink r:id="rId11" w:tooltip="Договор купли продажи земельного участка — особенности составления" w:history="1">
        <w:r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купли-продажи</w:t>
        </w:r>
      </w:hyperlink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и т. п.);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нотариальные свидетельства о праве на наследство;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lastRenderedPageBreak/>
        <w:t>вступившие в законную силу решения суда;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акты о правах на земельный участок, выданные уполномоченными органами власти в соответствии с законодательством, действовавшим в месте издания таких актов на момент их издания;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межевой план, выполненный кадастровым инженером по результатам кадастровых работ;</w:t>
      </w:r>
    </w:p>
    <w:p w:rsidR="00283507" w:rsidRPr="00283507" w:rsidRDefault="00283507" w:rsidP="00B1642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иные документы, предусмотренные ФЗ № 218.</w:t>
      </w:r>
    </w:p>
    <w:p w:rsidR="00283507" w:rsidRPr="00283507" w:rsidRDefault="00283507" w:rsidP="00772E3E">
      <w:pPr>
        <w:spacing w:before="300" w:after="15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3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Необходимые документы</w:t>
      </w:r>
    </w:p>
    <w:p w:rsidR="00283507" w:rsidRPr="00283507" w:rsidRDefault="00283507" w:rsidP="004D40C3">
      <w:pPr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proofErr w:type="spellStart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Госрегистрация</w:t>
      </w:r>
      <w:proofErr w:type="spellEnd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прав на землю может быть </w:t>
      </w:r>
      <w:proofErr w:type="gramStart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осуществлена</w:t>
      </w:r>
      <w:proofErr w:type="gramEnd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только на основании заявления и прилагаемых к нему необходимых документов.</w:t>
      </w:r>
    </w:p>
    <w:p w:rsidR="00283507" w:rsidRPr="00283507" w:rsidRDefault="00283507" w:rsidP="004D40C3">
      <w:pPr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При одновременной постановке земли на </w:t>
      </w:r>
      <w:hyperlink r:id="rId12" w:tooltip="Где получить кадастровый паспорт на земельный участок и что для этого нужно" w:history="1">
        <w:r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кадастровый учет</w:t>
        </w:r>
      </w:hyperlink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подается единое заявление.</w:t>
      </w:r>
    </w:p>
    <w:p w:rsidR="00283507" w:rsidRPr="00283507" w:rsidRDefault="00283507" w:rsidP="004D40C3">
      <w:pPr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Заявление и документы могут быть представлены в орган регистрации прав:</w:t>
      </w:r>
    </w:p>
    <w:p w:rsidR="00283507" w:rsidRPr="00283507" w:rsidRDefault="00283507" w:rsidP="00B16423">
      <w:pPr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на бумажных носителях при личном обращении заявителя в любое территориальное отделение </w:t>
      </w:r>
      <w:proofErr w:type="spellStart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Росреестра</w:t>
      </w:r>
      <w:proofErr w:type="spellEnd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или МФЦ, независимо от нахождения земельного участка;</w:t>
      </w:r>
    </w:p>
    <w:p w:rsidR="00283507" w:rsidRDefault="00283507" w:rsidP="00B16423">
      <w:pPr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-709" w:right="-56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в форме электронных документов, подписанных усиленной квалифицированной электронной подписью и отправленных по сети интернет на единый портал </w:t>
      </w:r>
      <w:proofErr w:type="spellStart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госуслуг</w:t>
      </w:r>
      <w:proofErr w:type="spellEnd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.</w:t>
      </w:r>
    </w:p>
    <w:p w:rsidR="001F6F7B" w:rsidRPr="00283507" w:rsidRDefault="001F6F7B" w:rsidP="00B16423">
      <w:pPr>
        <w:tabs>
          <w:tab w:val="num" w:pos="567"/>
        </w:tabs>
        <w:spacing w:line="240" w:lineRule="auto"/>
        <w:ind w:right="-56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</w:p>
    <w:p w:rsidR="00283507" w:rsidRPr="00283507" w:rsidRDefault="00283507" w:rsidP="004D40C3">
      <w:pPr>
        <w:tabs>
          <w:tab w:val="num" w:pos="0"/>
        </w:tabs>
        <w:spacing w:line="240" w:lineRule="auto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Перечень необходимых документов: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заявление о проведении </w:t>
      </w:r>
      <w:proofErr w:type="spellStart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госрегистрации</w:t>
      </w:r>
      <w:proofErr w:type="spellEnd"/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прав (и кадастровом учете);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гражданские паспорта участников правоотношений;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нотариальная доверенность на представителя, которому правообладатель поручил проведение регистрации;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документы, служащие основанием для проведения </w:t>
      </w:r>
      <w:hyperlink r:id="rId13" w:tooltip="Срок регистрации права собственности на недвижимое имущество" w:history="1">
        <w:proofErr w:type="spellStart"/>
        <w:r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госрегистрации</w:t>
        </w:r>
        <w:proofErr w:type="spellEnd"/>
        <w:r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 xml:space="preserve"> прав</w:t>
        </w:r>
      </w:hyperlink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;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межевой план земельного участка;</w:t>
      </w:r>
    </w:p>
    <w:p w:rsidR="00283507" w:rsidRP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документ, подтверждающий оплату </w:t>
      </w:r>
      <w:hyperlink r:id="rId14" w:tooltip="Пошлина за регистрацию права собственности — размер и особенности уплаты" w:history="1">
        <w:r w:rsidRPr="00283507">
          <w:rPr>
            <w:rFonts w:ascii="PT Sans" w:eastAsia="Times New Roman" w:hAnsi="PT Sans" w:cs="Helvetica"/>
            <w:color w:val="494989"/>
            <w:sz w:val="30"/>
            <w:szCs w:val="30"/>
            <w:lang w:eastAsia="ru-RU"/>
          </w:rPr>
          <w:t>госпошлины</w:t>
        </w:r>
      </w:hyperlink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;</w:t>
      </w:r>
    </w:p>
    <w:p w:rsidR="00283507" w:rsidRDefault="00283507" w:rsidP="00B16423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иные, предусмотренные законом документы.</w:t>
      </w:r>
    </w:p>
    <w:p w:rsidR="001F6F7B" w:rsidRPr="00283507" w:rsidRDefault="001F6F7B" w:rsidP="001F6F7B">
      <w:pPr>
        <w:spacing w:line="240" w:lineRule="auto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</w:p>
    <w:p w:rsidR="00283507" w:rsidRPr="00283507" w:rsidRDefault="00283507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835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зависимости от особенностей конкретной ситуации перечень документов может варьироваться.</w:t>
      </w:r>
    </w:p>
    <w:p w:rsidR="00283507" w:rsidRPr="00283507" w:rsidRDefault="00283507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Основные сведения, необходимые для регистрации, должны содержаться в договоре на гражданскую сделку и межевом плане участка.</w:t>
      </w:r>
    </w:p>
    <w:p w:rsidR="001F6F7B" w:rsidRDefault="009E69C6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Для подготовки межевого плана необходимо выбрать кадастрового инженера и представить ему необходимые документы на земельный участок. </w:t>
      </w: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                                    </w:t>
      </w:r>
    </w:p>
    <w:p w:rsidR="00283507" w:rsidRPr="00283507" w:rsidRDefault="00283507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lastRenderedPageBreak/>
        <w:t>В ходе кадастровых работ будут определены характерные точки границ участка, которые необходимо согласовать с владельцами смежных земельных наделов. Акт согласования должен прилагаться к межевому плану.</w:t>
      </w:r>
    </w:p>
    <w:p w:rsidR="00283507" w:rsidRPr="00283507" w:rsidRDefault="00772E3E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</w:t>
      </w:r>
      <w:r w:rsidR="00283507"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ри совершении гражданских сделок с землей сторонам необходимо согласовать все условия. В договоре должна содержаться следующая информация: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дата и место составления договора;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необходимые сведения о сторонах договора;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подробное описание предмета договора (кадастровый номер участка, площадь, категория и вид разрешенного пользования и т. д.);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основания для заключения сделки;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цена договора и порядок расчета между участниками (в случае возмездной сделки);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порядок перехода прав на землю;</w:t>
      </w:r>
    </w:p>
    <w:p w:rsidR="00283507" w:rsidRPr="00283507" w:rsidRDefault="00283507" w:rsidP="00B16423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283507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наличие ограничений и обременений, сохраняющихся при переходе права собственности.</w:t>
      </w:r>
    </w:p>
    <w:p w:rsidR="009E69C6" w:rsidRPr="009E69C6" w:rsidRDefault="009E69C6" w:rsidP="004D40C3">
      <w:pPr>
        <w:spacing w:line="240" w:lineRule="auto"/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Все условия договора должны отвечать требованиям законодательства. Это будет проверено в процессе регистрации.</w:t>
      </w:r>
    </w:p>
    <w:p w:rsidR="009E69C6" w:rsidRPr="009E69C6" w:rsidRDefault="009E69C6" w:rsidP="00772E3E">
      <w:pPr>
        <w:spacing w:before="300" w:after="15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9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Сроки регистрации</w:t>
      </w:r>
    </w:p>
    <w:p w:rsidR="009E69C6" w:rsidRPr="009E69C6" w:rsidRDefault="009E69C6" w:rsidP="004D40C3">
      <w:pPr>
        <w:spacing w:after="150" w:line="240" w:lineRule="auto"/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По условиям ФЗ № 218 продолжительность процедуры регистрации установлена следующим образом:</w:t>
      </w:r>
    </w:p>
    <w:p w:rsidR="009E69C6" w:rsidRPr="009E69C6" w:rsidRDefault="009E69C6" w:rsidP="00B16423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семь рабочих дней — при представлении документов в отделение </w:t>
      </w:r>
      <w:proofErr w:type="spellStart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Росреестра</w:t>
      </w:r>
      <w:proofErr w:type="spellEnd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;</w:t>
      </w:r>
    </w:p>
    <w:p w:rsidR="009E69C6" w:rsidRPr="009E69C6" w:rsidRDefault="009E69C6" w:rsidP="00B16423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девять рабочих дней — в случае подачи документов в многофункциональный центр;</w:t>
      </w:r>
    </w:p>
    <w:p w:rsidR="009E69C6" w:rsidRDefault="009E69C6" w:rsidP="00B16423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три и пять рабочих дней соответственно, когда на регистрацию представляются нотариально удостоверенные документы по сделке.</w:t>
      </w:r>
    </w:p>
    <w:p w:rsidR="00772E3E" w:rsidRPr="009E69C6" w:rsidRDefault="00772E3E" w:rsidP="00B16423">
      <w:pPr>
        <w:tabs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</w:p>
    <w:p w:rsidR="009E69C6" w:rsidRPr="009E69C6" w:rsidRDefault="009E69C6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7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После приема заявления регистратор вручит заявителю расписку, в которой будет указана дата получения итоговых документов.</w:t>
      </w:r>
    </w:p>
    <w:p w:rsidR="009E69C6" w:rsidRPr="009E69C6" w:rsidRDefault="009E69C6" w:rsidP="004D40C3">
      <w:pPr>
        <w:spacing w:line="240" w:lineRule="auto"/>
        <w:ind w:left="-851" w:firstLine="851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Процесс регистрации прав на земельный участок делится на следующие этапы:</w:t>
      </w:r>
    </w:p>
    <w:p w:rsidR="009E69C6" w:rsidRPr="009E69C6" w:rsidRDefault="009E69C6" w:rsidP="004D40C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прием от заявителя документов;</w:t>
      </w:r>
    </w:p>
    <w:p w:rsidR="009E69C6" w:rsidRPr="009E69C6" w:rsidRDefault="009E69C6" w:rsidP="00B1642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проверка полноты состава поданных заявителем документов, их соответствия установленным требованиям оформления и содержания;</w:t>
      </w:r>
    </w:p>
    <w:p w:rsidR="009E69C6" w:rsidRPr="009E69C6" w:rsidRDefault="009E69C6" w:rsidP="00B1642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proofErr w:type="gramStart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проведение правовой экспертизы документов (проверка действительности поданных заявителем документов, наличия соответствующих прав у подготовившего документ лица и наличия ранее </w:t>
      </w: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lastRenderedPageBreak/>
        <w:t>зарегистрированных (ранее заявленных) прав на подлежащий регистрации земельный участок;</w:t>
      </w:r>
      <w:proofErr w:type="gramEnd"/>
    </w:p>
    <w:p w:rsidR="009E69C6" w:rsidRPr="009E69C6" w:rsidRDefault="009E69C6" w:rsidP="00B1642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выявление оснований для отказа или приостановления государственной регистрации прав;</w:t>
      </w:r>
    </w:p>
    <w:p w:rsidR="009E69C6" w:rsidRPr="009E69C6" w:rsidRDefault="009E69C6" w:rsidP="00B1642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при отсутствии каких-либо оснований для отказа или приостановления государственной регистрации прав на земельный участок — внесение соответствующих сведений о нем в ЕГРН. Он содержит информацию о существующих прекращенных правах на объекты правообладателей. Идентификация земельного участка в ЕГРН осуществляется по кадастровому номеру, который присваивается ему органом кадастрового учета;</w:t>
      </w:r>
    </w:p>
    <w:p w:rsidR="009E69C6" w:rsidRPr="009E69C6" w:rsidRDefault="009E69C6" w:rsidP="00B16423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подготовка и выдача документов, подтверждающих государственную регистрацию прав на земельный участок, посредством совершения на представленных заявителем правоустанавливающих документах надписей о произведенной государственной регистрации прав.</w:t>
      </w:r>
    </w:p>
    <w:p w:rsidR="009E69C6" w:rsidRPr="009E69C6" w:rsidRDefault="009E69C6" w:rsidP="00772E3E">
      <w:pPr>
        <w:spacing w:before="300" w:after="15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9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Случаи отказа в </w:t>
      </w:r>
      <w:proofErr w:type="spellStart"/>
      <w:r w:rsidRPr="009E69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госрегистрации</w:t>
      </w:r>
      <w:proofErr w:type="spellEnd"/>
    </w:p>
    <w:p w:rsidR="009E69C6" w:rsidRPr="009E69C6" w:rsidRDefault="009E69C6" w:rsidP="004D40C3">
      <w:pPr>
        <w:spacing w:line="240" w:lineRule="auto"/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Отказ в регистрации прав на участок земли может произойти по следующим основаниям: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 не подлежит государственной регистрации;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акт госоргана или органа местного самоуправления признан недействительным;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в процессе правовой экспертизы представленных документов выявлены противоречия между уже зарегистрированными правами и заявленными правами на земельный участок;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правоустанавливающий документ о земельном участке </w:t>
      </w:r>
      <w:proofErr w:type="gramStart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свидетельствует</w:t>
      </w:r>
      <w:proofErr w:type="gramEnd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об отсутствии у заявителя прав на него;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документы, представленные на государственную регистрацию прав, по форме или содержанию не соответствуют установленным требованиям закона;</w:t>
      </w:r>
    </w:p>
    <w:p w:rsidR="009E69C6" w:rsidRP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правообладатель не представил заявление, а также иные необходимые документы на регистрацию ранее возникшего права на земельный участок;</w:t>
      </w:r>
    </w:p>
    <w:p w:rsidR="009E69C6" w:rsidRDefault="009E69C6" w:rsidP="00B16423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-709" w:firstLine="709"/>
        <w:jc w:val="both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с заявлением о регистрации прав обратилось ненадлежащее лицо.</w:t>
      </w:r>
      <w:r w:rsidR="00772E3E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</w:p>
    <w:p w:rsidR="00772E3E" w:rsidRPr="009E69C6" w:rsidRDefault="00772E3E" w:rsidP="00772E3E">
      <w:pPr>
        <w:spacing w:line="240" w:lineRule="auto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</w:p>
    <w:p w:rsidR="009E69C6" w:rsidRPr="009E69C6" w:rsidRDefault="009E69C6" w:rsidP="00772E3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7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Регистрация официально закрепляет право собственности на землю в государственной базе данных ЕГРН.</w:t>
      </w:r>
    </w:p>
    <w:p w:rsidR="009E69C6" w:rsidRPr="009E69C6" w:rsidRDefault="009E69C6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lastRenderedPageBreak/>
        <w:t xml:space="preserve">Для подтверждения этого факта собственник земельного участка может получить в отделении </w:t>
      </w:r>
      <w:proofErr w:type="spellStart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Росреестра</w:t>
      </w:r>
      <w:proofErr w:type="spellEnd"/>
      <w:r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или МФЦ выписку из ЕГРН, а также удостоверенный договор с регистрационной отметкой.</w:t>
      </w:r>
    </w:p>
    <w:p w:rsidR="009E69C6" w:rsidRPr="009E69C6" w:rsidRDefault="00772E3E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  <w:r w:rsidR="009E69C6"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В выписку из ЕГРН включается полное содержание кадастрового паспорта на земельный участок, в том числе его графическая схема с указанием площади и границ.</w:t>
      </w:r>
    </w:p>
    <w:p w:rsidR="009E69C6" w:rsidRPr="009E69C6" w:rsidRDefault="00772E3E" w:rsidP="004D40C3">
      <w:pPr>
        <w:ind w:left="-709" w:firstLine="709"/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</w:pPr>
      <w:r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 xml:space="preserve"> </w:t>
      </w:r>
      <w:r w:rsidR="009E69C6" w:rsidRPr="009E69C6">
        <w:rPr>
          <w:rFonts w:ascii="PT Sans" w:eastAsia="Times New Roman" w:hAnsi="PT Sans" w:cs="Helvetica"/>
          <w:color w:val="555555"/>
          <w:sz w:val="30"/>
          <w:szCs w:val="30"/>
          <w:lang w:eastAsia="ru-RU"/>
        </w:rPr>
        <w:t>После регистрации собственник получает законную возможность защищать свое право от посягательств третьих лиц и распоряжаться землей (при соблюдении правил категории земель и вида разрешенного пользования участков).</w:t>
      </w:r>
    </w:p>
    <w:p w:rsidR="00E956CD" w:rsidRDefault="00E956CD" w:rsidP="00772E3E">
      <w:pPr>
        <w:spacing w:line="240" w:lineRule="auto"/>
        <w:ind w:left="-709"/>
      </w:pPr>
    </w:p>
    <w:sectPr w:rsidR="00E956CD" w:rsidSect="00772E3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5A"/>
    <w:multiLevelType w:val="multilevel"/>
    <w:tmpl w:val="BD1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A4DC2"/>
    <w:multiLevelType w:val="multilevel"/>
    <w:tmpl w:val="DEA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1C2A"/>
    <w:multiLevelType w:val="multilevel"/>
    <w:tmpl w:val="DEA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1B82"/>
    <w:multiLevelType w:val="multilevel"/>
    <w:tmpl w:val="DEA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0BEB"/>
    <w:multiLevelType w:val="multilevel"/>
    <w:tmpl w:val="DEA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62A7"/>
    <w:multiLevelType w:val="multilevel"/>
    <w:tmpl w:val="C64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5206"/>
    <w:multiLevelType w:val="multilevel"/>
    <w:tmpl w:val="DEA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85BBC"/>
    <w:multiLevelType w:val="multilevel"/>
    <w:tmpl w:val="16A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D374C"/>
    <w:multiLevelType w:val="multilevel"/>
    <w:tmpl w:val="241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605FF"/>
    <w:multiLevelType w:val="multilevel"/>
    <w:tmpl w:val="6B9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8C"/>
    <w:rsid w:val="001F6F7B"/>
    <w:rsid w:val="00283507"/>
    <w:rsid w:val="004D40C3"/>
    <w:rsid w:val="00772E3E"/>
    <w:rsid w:val="00935DCE"/>
    <w:rsid w:val="009E69C6"/>
    <w:rsid w:val="00AA298C"/>
    <w:rsid w:val="00B16423"/>
    <w:rsid w:val="00CA05B9"/>
    <w:rsid w:val="00E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9C6"/>
    <w:pPr>
      <w:spacing w:before="300" w:after="150" w:line="570" w:lineRule="atLeast"/>
      <w:outlineLvl w:val="1"/>
    </w:pPr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9C6"/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E69C6"/>
    <w:rPr>
      <w:strike w:val="0"/>
      <w:dstrike w:val="0"/>
      <w:color w:val="494989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9E69C6"/>
    <w:rPr>
      <w:b/>
      <w:bCs/>
    </w:rPr>
  </w:style>
  <w:style w:type="paragraph" w:styleId="a8">
    <w:name w:val="Normal (Web)"/>
    <w:basedOn w:val="a"/>
    <w:uiPriority w:val="99"/>
    <w:semiHidden/>
    <w:unhideWhenUsed/>
    <w:rsid w:val="009E69C6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9C6"/>
    <w:pPr>
      <w:spacing w:before="300" w:after="150" w:line="570" w:lineRule="atLeast"/>
      <w:outlineLvl w:val="1"/>
    </w:pPr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9C6"/>
    <w:rPr>
      <w:rFonts w:ascii="Roboto Slab" w:eastAsia="Times New Roman" w:hAnsi="Roboto Slab" w:cs="Times New Roman"/>
      <w:color w:val="333333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E69C6"/>
    <w:rPr>
      <w:strike w:val="0"/>
      <w:dstrike w:val="0"/>
      <w:color w:val="494989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9E69C6"/>
    <w:rPr>
      <w:b/>
      <w:bCs/>
    </w:rPr>
  </w:style>
  <w:style w:type="paragraph" w:styleId="a8">
    <w:name w:val="Normal (Web)"/>
    <w:basedOn w:val="a"/>
    <w:uiPriority w:val="99"/>
    <w:semiHidden/>
    <w:unhideWhenUsed/>
    <w:rsid w:val="009E69C6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31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38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dashed" w:sz="6" w:space="0" w:color="494989"/>
                                        <w:left w:val="dashed" w:sz="6" w:space="0" w:color="494989"/>
                                        <w:bottom w:val="dashed" w:sz="6" w:space="0" w:color="494989"/>
                                        <w:right w:val="dashed" w:sz="6" w:space="0" w:color="494989"/>
                                      </w:divBdr>
                                    </w:div>
                                  </w:divsChild>
                                </w:div>
                                <w:div w:id="880363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91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471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-guide.ru/administrativnoe-pravo/pravo-sobstvennosti/kak-oformit-zemelnyj-uchastok-v-sobstvennost.html" TargetMode="External"/><Relationship Id="rId13" Type="http://schemas.openxmlformats.org/officeDocument/2006/relationships/hyperlink" Target="http://lawyer-guide.ru/nedvizhimost/kvartira/privatizaciya/srok-registracii-prava-sobstvennosti-na-nedvizhimoe-imushhest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awyer-guide.ru/administrativnoe-pravo/pravo-sobstvennosti/kak-oformit-zemelnyj-uchastok-v-sobstvennost.html" TargetMode="External"/><Relationship Id="rId12" Type="http://schemas.openxmlformats.org/officeDocument/2006/relationships/hyperlink" Target="http://lawyer-guide.ru/nedvizhimost/zemelnye-otnosheniya/gde-poluchit-kadastrovyj-pasport-na-zemelnyj-uchast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yer-guide.ru/nedvizhimost/zemelnye-otnosheniya/kuplya-prodazha/dogovor-kupli-prodazhi-zemelnogo-uchastk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wyer-guide.ru/nedvizhimost/zemelnye-otnosheniya/arenda-zemelnyx-uchastkov-naxodyashhixsya-v-municipalnoj-sobstvennost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yer-guide.ru/nedvizhimost/zemelnye-otnosheniya/kuplya-prodazha/kak-oformit-dachu-v-sobstvennost.html" TargetMode="External"/><Relationship Id="rId14" Type="http://schemas.openxmlformats.org/officeDocument/2006/relationships/hyperlink" Target="http://lawyer-guide.ru/administrativnoe-pravo/pravo-sobstvennosti/poshlina-za-registrac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B63-1D88-4F28-9C6E-7DA82098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2021-03-30T08:44:00Z</dcterms:created>
  <dcterms:modified xsi:type="dcterms:W3CDTF">2021-03-30T10:51:00Z</dcterms:modified>
</cp:coreProperties>
</file>