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2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2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.06.2022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Ул. Ленина, Вечный огонь, посадка цветов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0" style="width:415.500000pt;height:554.2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6240">
          <v:rect xmlns:o="urn:schemas-microsoft-com:office:office" xmlns:v="urn:schemas-microsoft-com:vml" id="rectole0000000001" style="width:415.500000pt;height:312.0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2" style="width:415.500000pt;height:554.2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3" style="width:415.500000pt;height:554.2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0.bin" Id="docRId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3.bin" Id="docRId6" Type="http://schemas.openxmlformats.org/officeDocument/2006/relationships/oleObject" /><Relationship Target="numbering.xml" Id="docRId8" Type="http://schemas.openxmlformats.org/officeDocument/2006/relationships/numbering" /><Relationship Target="media/image0.wmf" Id="docRId1" Type="http://schemas.openxmlformats.org/officeDocument/2006/relationships/image" /><Relationship Target="media/image2.wmf" Id="docRId5" Type="http://schemas.openxmlformats.org/officeDocument/2006/relationships/image" /><Relationship Target="styles.xml" Id="docRId9" Type="http://schemas.openxmlformats.org/officeDocument/2006/relationships/styles" /></Relationships>
</file>