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РЕСПУБЛИКИ МОРДОВИЯ</w:t>
      </w: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  <w:r w:rsidRPr="00DF25D5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  <w:t xml:space="preserve">  РЕШЕНИЕ</w:t>
      </w: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</w:p>
    <w:p w:rsidR="000F0EF8" w:rsidRPr="00DF25D5" w:rsidRDefault="000F0EF8" w:rsidP="000F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0F0EF8" w:rsidRPr="00DF25D5" w:rsidRDefault="000F0EF8" w:rsidP="000F0EF8">
      <w:pPr>
        <w:shd w:val="clear" w:color="auto" w:fill="FFFFFF"/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8"/>
          <w:szCs w:val="28"/>
        </w:rPr>
      </w:pPr>
      <w:r w:rsidRPr="00DF25D5">
        <w:rPr>
          <w:rFonts w:ascii="Times New Roman" w:eastAsia="Times New Roman" w:hAnsi="Times New Roman" w:cs="Times New Roman"/>
          <w:sz w:val="28"/>
          <w:szCs w:val="28"/>
        </w:rPr>
        <w:t>от   30.03.  2018г.                                                                     №19/74</w:t>
      </w:r>
    </w:p>
    <w:p w:rsidR="000F0EF8" w:rsidRPr="00DF25D5" w:rsidRDefault="000F0EF8" w:rsidP="000F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proofErr w:type="spellStart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</w:t>
      </w:r>
      <w:proofErr w:type="gramStart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.Л</w:t>
      </w:r>
      <w:proofErr w:type="gramEnd"/>
      <w:r w:rsidRPr="00DF25D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евженский</w:t>
      </w:r>
      <w:proofErr w:type="spellEnd"/>
    </w:p>
    <w:p w:rsidR="000F0EF8" w:rsidRPr="00DF25D5" w:rsidRDefault="000F0EF8" w:rsidP="000F0E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Главы администрации </w:t>
      </w:r>
      <w:proofErr w:type="spellStart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об исполнении Плана мероприятий администрации </w:t>
      </w:r>
      <w:proofErr w:type="spellStart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2017 год по реализации Послания Главы Республики Мордовия Государственному Собранию Республики Мордовия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Обсудив отчет об исполнении Плана мероприятий администрации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2017</w:t>
      </w:r>
      <w:proofErr w:type="gram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 реализации Послания Главы Республики Мордовия Государственному Собранию Республики Мордовия,  </w:t>
      </w: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49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 w:rsidRPr="00DF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</w:t>
      </w: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499" w:firstLine="7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РЕШИЛ:</w:t>
      </w:r>
    </w:p>
    <w:p w:rsidR="000F0EF8" w:rsidRPr="00DF25D5" w:rsidRDefault="000F0EF8" w:rsidP="000F0EF8">
      <w:pPr>
        <w:spacing w:after="5" w:line="247" w:lineRule="auto"/>
        <w:ind w:left="7" w:right="100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Принять к сведению отчет об исполнении  плана мероприятий администрации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на 2017 год по реализации Послания Главы Республики Мордовия Государственному Собранию Республики Мордовия (прилагается).</w:t>
      </w: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 подлежит обнародованию в информационном бюллетене 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ruzaevka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0F0EF8" w:rsidRPr="00DF25D5" w:rsidRDefault="000F0EF8" w:rsidP="000F0EF8">
      <w:pPr>
        <w:shd w:val="clear" w:color="auto" w:fill="FFFFFF"/>
        <w:spacing w:after="5" w:line="247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Г.Ф.         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F25D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 w:rsidRPr="00DF2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5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мероприятий администрации  </w:t>
      </w:r>
      <w:proofErr w:type="spellStart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 по выполнению основных положений и выводов, содержащихся в Послании Главы РМ Государственному Собранию </w:t>
      </w:r>
      <w:r w:rsidRPr="00DF25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РМ </w:t>
      </w:r>
    </w:p>
    <w:p w:rsidR="000F0EF8" w:rsidRPr="00DF25D5" w:rsidRDefault="000F0EF8" w:rsidP="000F0EF8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685"/>
        <w:gridCol w:w="1527"/>
        <w:gridCol w:w="1756"/>
        <w:gridCol w:w="2659"/>
      </w:tblGrid>
      <w:tr w:rsidR="000F0EF8" w:rsidRPr="00DF25D5" w:rsidTr="008C77B4"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Ответственность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исполнением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исполнении</w:t>
            </w:r>
            <w:proofErr w:type="spellEnd"/>
          </w:p>
        </w:tc>
      </w:tr>
      <w:tr w:rsidR="000F0EF8" w:rsidRPr="00DF25D5" w:rsidTr="008C77B4"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экономики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0F0EF8" w:rsidRPr="00DF25D5" w:rsidTr="008C77B4"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Добиваться  своевременного  и качественного исполнения  бюджета  администрации сельского поселения, вести  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поступлением доходов, поступающие средства  использовать по целевому назначению.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Исполнение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бюджета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0F0EF8" w:rsidRPr="00DF25D5" w:rsidTr="008C77B4">
        <w:trPr>
          <w:trHeight w:val="1096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 проводить работу с налогоплательщиками добиваться своевременного отчисления  налогов в бюджет поселения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ыполнить товарооборот 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Весь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проводилась систематически, своевременно отчислялись налоги в бюджет, выполнение товарооборота 94%</w:t>
            </w:r>
          </w:p>
        </w:tc>
      </w:tr>
      <w:tr w:rsidR="000F0EF8" w:rsidRPr="00DF25D5" w:rsidTr="008C77B4">
        <w:trPr>
          <w:trHeight w:val="371"/>
        </w:trPr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Строительство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ввод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жилья</w:t>
            </w:r>
            <w:proofErr w:type="spellEnd"/>
          </w:p>
        </w:tc>
      </w:tr>
      <w:tr w:rsidR="000F0EF8" w:rsidRPr="00DF25D5" w:rsidTr="008C77B4">
        <w:trPr>
          <w:trHeight w:val="894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земельные участки для индивидуального жилого строительства (34 участка), ввод жилья 300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Весь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2017 году сформированы 34  участка, ввод жилья 529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(176%)</w:t>
            </w:r>
          </w:p>
        </w:tc>
      </w:tr>
      <w:tr w:rsidR="000F0EF8" w:rsidRPr="00DF25D5" w:rsidTr="008C77B4">
        <w:trPr>
          <w:trHeight w:val="357"/>
        </w:trPr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Агропромышленный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</w:tr>
      <w:tr w:rsidR="000F0EF8" w:rsidRPr="00DF25D5" w:rsidTr="008C77B4">
        <w:trPr>
          <w:trHeight w:val="894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поселения и активу села регулярно вести разъяснительную работу среди населения по привлечению кредитов на развитие малых  форм хозяйствования. Сохранение  поголовья и за счет  </w:t>
            </w: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кредитов увеличить численность поголовья скота в ЛПХ на 20 %. Агитировать жителей на приобретение маточного поголовья. Выполнение показателей  по организации закупа мяса и молока.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Весь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была проведена среди населения.</w:t>
            </w:r>
          </w:p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сохранено 100%, продажа мяса – 98%, продажа молока – 103%.</w:t>
            </w:r>
          </w:p>
        </w:tc>
      </w:tr>
      <w:tr w:rsidR="000F0EF8" w:rsidRPr="00DF25D5" w:rsidTr="008C77B4">
        <w:trPr>
          <w:trHeight w:val="342"/>
        </w:trPr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Социальное и духовное развитие общества</w:t>
            </w:r>
          </w:p>
        </w:tc>
      </w:tr>
      <w:tr w:rsidR="000F0EF8" w:rsidRPr="00DF25D5" w:rsidTr="008C77B4">
        <w:trPr>
          <w:trHeight w:val="1208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left="260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 подготовки к 72-летию празднования Победы в Великой Отечественной войне 1941-1945 гг.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proofErr w:type="spell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ежемесячно, </w:t>
            </w:r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согласно мероприятий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  КДЦ</w:t>
            </w:r>
          </w:p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 с/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утвержденное             план мероприятий по подготовки к празднованию 72-й годовщины Победы в ВОВ 1941-1945 гг.</w:t>
            </w:r>
          </w:p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плана выполнены в полном объеме.</w:t>
            </w:r>
          </w:p>
        </w:tc>
      </w:tr>
      <w:tr w:rsidR="000F0EF8" w:rsidRPr="00DF25D5" w:rsidTr="008C77B4">
        <w:trPr>
          <w:trHeight w:val="795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left="260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Считать важнейшей задачей заботу о ветеранах войны и труда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 и  КДЦ</w:t>
            </w: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чествуем в дни рождения и празднования 9 мая (вручаем продуктовый набор)</w:t>
            </w:r>
          </w:p>
        </w:tc>
      </w:tr>
      <w:tr w:rsidR="000F0EF8" w:rsidRPr="00DF25D5" w:rsidTr="008C77B4">
        <w:trPr>
          <w:trHeight w:val="795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left="260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на территории сельского поселения по благоустройству села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и  КДЦ</w:t>
            </w: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на территории с/</w:t>
            </w:r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благоустройству села проводится каждую пятницу:</w:t>
            </w:r>
          </w:p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раза на территории кладбища</w:t>
            </w:r>
          </w:p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территории памятника воинам ВОВ по мере необходимости.</w:t>
            </w:r>
          </w:p>
        </w:tc>
      </w:tr>
      <w:tr w:rsidR="000F0EF8" w:rsidRPr="00DF25D5" w:rsidTr="008C77B4">
        <w:trPr>
          <w:trHeight w:val="357"/>
        </w:trPr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3.1.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0F0EF8" w:rsidRPr="00DF25D5" w:rsidTr="008C77B4">
        <w:trPr>
          <w:trHeight w:val="529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Повысить качество культурного обслуживания  населения. Регулярно проводить концерты художественной самодеятельности, </w:t>
            </w: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другие мероприятия, для  этого задействовать кружки  художественной самодеятельности. </w:t>
            </w:r>
            <w:proofErr w:type="spellStart"/>
            <w:proofErr w:type="gram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Улучшать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материальную</w:t>
            </w:r>
            <w:proofErr w:type="spellEnd"/>
            <w:proofErr w:type="gram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базу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учреждений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культуры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течении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D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КДЦ</w:t>
            </w: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317" w:lineRule="exact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proofErr w:type="spell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проводятся концерты участников худ</w:t>
            </w:r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амодеятельности к знаменательным датам (согласно плану </w:t>
            </w:r>
            <w:r w:rsidRPr="00DF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2017г). Проведение  праздника «</w:t>
            </w:r>
            <w:proofErr w:type="spell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Кургоня</w:t>
            </w:r>
            <w:proofErr w:type="spell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317" w:lineRule="exact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317" w:lineRule="exact"/>
              <w:ind w:hanging="9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EF8" w:rsidRPr="00DF25D5" w:rsidTr="008C77B4">
        <w:trPr>
          <w:trHeight w:val="522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left="260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рганизовать работу по организации досуга молодежи</w:t>
            </w: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proofErr w:type="spellEnd"/>
            <w:proofErr w:type="gramStart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 w:rsidRPr="00DF25D5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молодежью проводятся встречи с правоохранительными органами, диспуты, беседы о вреде курения, спортивные мероприятия и другое</w:t>
            </w:r>
          </w:p>
        </w:tc>
      </w:tr>
      <w:tr w:rsidR="000F0EF8" w:rsidRPr="00DF25D5" w:rsidTr="008C77B4">
        <w:trPr>
          <w:trHeight w:val="364"/>
        </w:trPr>
        <w:tc>
          <w:tcPr>
            <w:tcW w:w="9571" w:type="dxa"/>
            <w:gridSpan w:val="5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b/>
                <w:sz w:val="24"/>
                <w:szCs w:val="24"/>
              </w:rPr>
              <w:t>3.2. Развитие физической культуры и спорта</w:t>
            </w:r>
          </w:p>
        </w:tc>
      </w:tr>
      <w:tr w:rsidR="000F0EF8" w:rsidRPr="00DF25D5" w:rsidTr="008C77B4">
        <w:trPr>
          <w:trHeight w:val="525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0" w:line="240" w:lineRule="auto"/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>3.2.1</w:t>
            </w: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0EF8" w:rsidRPr="00DF25D5" w:rsidTr="008C77B4">
        <w:trPr>
          <w:trHeight w:val="883"/>
        </w:trPr>
        <w:tc>
          <w:tcPr>
            <w:tcW w:w="944" w:type="dxa"/>
            <w:shd w:val="clear" w:color="auto" w:fill="auto"/>
          </w:tcPr>
          <w:p w:rsidR="000F0EF8" w:rsidRPr="00DF25D5" w:rsidRDefault="000F0EF8" w:rsidP="008C77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0F0EF8" w:rsidRPr="00DF25D5" w:rsidRDefault="000F0EF8" w:rsidP="008C77B4">
            <w:pPr>
              <w:widowControl w:val="0"/>
              <w:shd w:val="clear" w:color="auto" w:fill="FFFFFF"/>
              <w:spacing w:before="480" w:after="0" w:line="240" w:lineRule="auto"/>
              <w:ind w:hanging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0F0EF8" w:rsidRPr="00DF25D5" w:rsidRDefault="000F0EF8" w:rsidP="008C77B4">
            <w:pPr>
              <w:spacing w:after="5" w:line="247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EF8" w:rsidRPr="00DF25D5" w:rsidRDefault="000F0EF8" w:rsidP="000F0EF8">
      <w:pPr>
        <w:spacing w:after="5" w:line="247" w:lineRule="auto"/>
        <w:ind w:left="7" w:right="10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F8" w:rsidRPr="00DF25D5" w:rsidRDefault="000F0EF8" w:rsidP="000F0EF8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F8"/>
    <w:rsid w:val="00052F8E"/>
    <w:rsid w:val="0007528B"/>
    <w:rsid w:val="00086EEB"/>
    <w:rsid w:val="00087B8D"/>
    <w:rsid w:val="00097B36"/>
    <w:rsid w:val="000C7B9E"/>
    <w:rsid w:val="000D35B7"/>
    <w:rsid w:val="000E57E2"/>
    <w:rsid w:val="000F0EF8"/>
    <w:rsid w:val="000F6A72"/>
    <w:rsid w:val="001340B9"/>
    <w:rsid w:val="00163641"/>
    <w:rsid w:val="00170E45"/>
    <w:rsid w:val="0023190D"/>
    <w:rsid w:val="002461AB"/>
    <w:rsid w:val="0029305C"/>
    <w:rsid w:val="00297201"/>
    <w:rsid w:val="00297DAA"/>
    <w:rsid w:val="002A2DC3"/>
    <w:rsid w:val="002B6368"/>
    <w:rsid w:val="002B6F05"/>
    <w:rsid w:val="002D26C8"/>
    <w:rsid w:val="00300815"/>
    <w:rsid w:val="00363799"/>
    <w:rsid w:val="00383B27"/>
    <w:rsid w:val="00394015"/>
    <w:rsid w:val="004108EE"/>
    <w:rsid w:val="0041215B"/>
    <w:rsid w:val="004510B3"/>
    <w:rsid w:val="004A31A8"/>
    <w:rsid w:val="004D5113"/>
    <w:rsid w:val="0050161E"/>
    <w:rsid w:val="00527881"/>
    <w:rsid w:val="00541B85"/>
    <w:rsid w:val="005B66D9"/>
    <w:rsid w:val="00633BAA"/>
    <w:rsid w:val="00641160"/>
    <w:rsid w:val="00680922"/>
    <w:rsid w:val="0069708B"/>
    <w:rsid w:val="006C6E61"/>
    <w:rsid w:val="006D0045"/>
    <w:rsid w:val="0070587D"/>
    <w:rsid w:val="00710BC2"/>
    <w:rsid w:val="007355BD"/>
    <w:rsid w:val="0073684D"/>
    <w:rsid w:val="007704E7"/>
    <w:rsid w:val="00786A44"/>
    <w:rsid w:val="007919FC"/>
    <w:rsid w:val="0079247A"/>
    <w:rsid w:val="007B2A92"/>
    <w:rsid w:val="007B4583"/>
    <w:rsid w:val="007B7559"/>
    <w:rsid w:val="007F27CA"/>
    <w:rsid w:val="007F4DE5"/>
    <w:rsid w:val="00833CA4"/>
    <w:rsid w:val="00846A02"/>
    <w:rsid w:val="00882900"/>
    <w:rsid w:val="008B089E"/>
    <w:rsid w:val="008C360F"/>
    <w:rsid w:val="008E1132"/>
    <w:rsid w:val="008E7C55"/>
    <w:rsid w:val="008F69AE"/>
    <w:rsid w:val="00904871"/>
    <w:rsid w:val="00911BF4"/>
    <w:rsid w:val="009174AF"/>
    <w:rsid w:val="00952087"/>
    <w:rsid w:val="00952F40"/>
    <w:rsid w:val="009620C7"/>
    <w:rsid w:val="009739F2"/>
    <w:rsid w:val="00981CDF"/>
    <w:rsid w:val="009F348B"/>
    <w:rsid w:val="00A02C2D"/>
    <w:rsid w:val="00A101A7"/>
    <w:rsid w:val="00A14EE6"/>
    <w:rsid w:val="00A227AA"/>
    <w:rsid w:val="00A239CD"/>
    <w:rsid w:val="00A47F39"/>
    <w:rsid w:val="00A565A9"/>
    <w:rsid w:val="00AC4AEE"/>
    <w:rsid w:val="00AF5480"/>
    <w:rsid w:val="00B02558"/>
    <w:rsid w:val="00B04D75"/>
    <w:rsid w:val="00B129D2"/>
    <w:rsid w:val="00B158D0"/>
    <w:rsid w:val="00B346ED"/>
    <w:rsid w:val="00B4323B"/>
    <w:rsid w:val="00B43ED6"/>
    <w:rsid w:val="00B650F1"/>
    <w:rsid w:val="00B97B4A"/>
    <w:rsid w:val="00BD4959"/>
    <w:rsid w:val="00BE6CBA"/>
    <w:rsid w:val="00C13104"/>
    <w:rsid w:val="00C23150"/>
    <w:rsid w:val="00C41E2E"/>
    <w:rsid w:val="00C45BE3"/>
    <w:rsid w:val="00C55651"/>
    <w:rsid w:val="00C67531"/>
    <w:rsid w:val="00C67A87"/>
    <w:rsid w:val="00CB72C7"/>
    <w:rsid w:val="00CC4CFE"/>
    <w:rsid w:val="00CD5E62"/>
    <w:rsid w:val="00D06714"/>
    <w:rsid w:val="00D257AE"/>
    <w:rsid w:val="00D40608"/>
    <w:rsid w:val="00DA56D2"/>
    <w:rsid w:val="00DB4BCC"/>
    <w:rsid w:val="00DC49E7"/>
    <w:rsid w:val="00DF248E"/>
    <w:rsid w:val="00E3169A"/>
    <w:rsid w:val="00E3214D"/>
    <w:rsid w:val="00E47AEF"/>
    <w:rsid w:val="00E57A27"/>
    <w:rsid w:val="00E869D2"/>
    <w:rsid w:val="00EA0CDE"/>
    <w:rsid w:val="00EA4E79"/>
    <w:rsid w:val="00ED343E"/>
    <w:rsid w:val="00ED5151"/>
    <w:rsid w:val="00F03847"/>
    <w:rsid w:val="00F34237"/>
    <w:rsid w:val="00F7314C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2018-04-11T13:24:00Z</dcterms:created>
  <dcterms:modified xsi:type="dcterms:W3CDTF">2018-04-11T13:24:00Z</dcterms:modified>
</cp:coreProperties>
</file>