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F" w:rsidRPr="00467A9F" w:rsidRDefault="00467A9F" w:rsidP="00467A9F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67A9F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Государство увеличило добровольные взносы участников программы </w:t>
      </w:r>
      <w:proofErr w:type="spellStart"/>
      <w:r w:rsidRPr="00467A9F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софинансирования</w:t>
      </w:r>
      <w:proofErr w:type="spellEnd"/>
      <w:r w:rsidRPr="00467A9F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пенсионных накоплений за 2018 год</w:t>
      </w:r>
    </w:p>
    <w:p w:rsidR="00467A9F" w:rsidRPr="00467A9F" w:rsidRDefault="00467A9F" w:rsidP="00467A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7A9F">
        <w:rPr>
          <w:rFonts w:ascii="Verdana" w:eastAsia="Times New Roman" w:hAnsi="Verdana" w:cs="Times New Roman"/>
          <w:color w:val="8A8A8A"/>
          <w:shd w:val="clear" w:color="auto" w:fill="F8F8FF"/>
          <w:lang w:eastAsia="ru-RU"/>
        </w:rPr>
        <w:t>04.06.2019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>4,9 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млрд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 по итогам 2018 года составили добровольные взносы граждан, участвующих в программе государственного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софинансирования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пенсионных накоплений. В соответствии с правилами программы государство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прософинансировало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эти взносы на общую сумму 4,7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млрд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Как и прежде, государственное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софинансирование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выделено в меньшем объеме по сравнению с суммой взносов участников, поскольку некоторые платежи по программе составили менее 2 тыс. или  более 12 тыс. рублей, в то время как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софинансированию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подлежат только взносы в пределах от 2 до 12 тыс. рублей в год.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В дополнение к добровольным взносам граждан и средствам государственного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софинансирования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в 2018 году также поступили взносы работодателей, выступающих третьей стороной по программе. Объем их средств, перечисленных в пользу работников, превысил 85,3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млн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>Таким образом, общая сумма, направленная за 2018 год в фонд будущей пенсии участников программы, составила 9,7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млрд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>Общий объем добровольных взносов участников с момента запуска программы составил 61,2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млрд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рублей, государственное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софинансирование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взносов за тот же период – 59,6 млрд рублей. Еще 956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млн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 поступило за все время в качестве взносов работодателей. В итоге общая сумма пенсионных накоплений, сформированных участниками в течение 2009–2018 годов, превысила 121,8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млрд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>Эти средства учтены на лицевых счетах граждан и в соответствии с их выбором переданы в управляющие компании и пенсионные фонды для дальнейшего инвестирования.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>Средства, сформированные по программе, выплачиваются участникам при выходе на пенсию, а в случае смерти назначаются правопреемникам, независимо от того, начались выплаты или нет. </w:t>
      </w: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467A9F" w:rsidRPr="00467A9F" w:rsidRDefault="00467A9F" w:rsidP="00467A9F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В течение 2018 года количество пенсионеров, получающих ежемесячные выплаты по программе </w:t>
      </w:r>
      <w:proofErr w:type="spellStart"/>
      <w:r w:rsidRPr="00467A9F">
        <w:rPr>
          <w:rFonts w:ascii="Verdana" w:eastAsia="Times New Roman" w:hAnsi="Verdana" w:cs="Times New Roman"/>
          <w:color w:val="052635"/>
          <w:lang w:eastAsia="ru-RU"/>
        </w:rPr>
        <w:t>софинансирования</w:t>
      </w:r>
      <w:proofErr w:type="spellEnd"/>
      <w:r w:rsidRPr="00467A9F">
        <w:rPr>
          <w:rFonts w:ascii="Verdana" w:eastAsia="Times New Roman" w:hAnsi="Verdana" w:cs="Times New Roman"/>
          <w:color w:val="052635"/>
          <w:lang w:eastAsia="ru-RU"/>
        </w:rPr>
        <w:t>, выросло до 26 тыс. человек. Общая сумма выплат им также увеличилась по сравнению с 2017 годом и составила 428,3 </w:t>
      </w:r>
      <w:proofErr w:type="gramStart"/>
      <w:r w:rsidRPr="00467A9F">
        <w:rPr>
          <w:rFonts w:ascii="Verdana" w:eastAsia="Times New Roman" w:hAnsi="Verdana" w:cs="Times New Roman"/>
          <w:color w:val="052635"/>
          <w:lang w:eastAsia="ru-RU"/>
        </w:rPr>
        <w:t>млн</w:t>
      </w:r>
      <w:proofErr w:type="gramEnd"/>
      <w:r w:rsidRPr="00467A9F">
        <w:rPr>
          <w:rFonts w:ascii="Verdana" w:eastAsia="Times New Roman" w:hAnsi="Verdana" w:cs="Times New Roman"/>
          <w:color w:val="052635"/>
          <w:lang w:eastAsia="ru-RU"/>
        </w:rPr>
        <w:t xml:space="preserve"> рублей.</w:t>
      </w:r>
    </w:p>
    <w:p w:rsidR="00B271F0" w:rsidRDefault="00B12F5A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9F"/>
    <w:rsid w:val="00467A9F"/>
    <w:rsid w:val="0052732C"/>
    <w:rsid w:val="00707AF7"/>
    <w:rsid w:val="00B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2019-06-07T01:40:00Z</dcterms:created>
  <dcterms:modified xsi:type="dcterms:W3CDTF">2019-06-07T02:18:00Z</dcterms:modified>
</cp:coreProperties>
</file>