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.12.2022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включение светодиодных консолей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4" style="width:415.500000pt;height:554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