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aps/>
          <w:sz w:val="28"/>
        </w:rPr>
        <w:t>РЕСПУБЛИКА МОРДОВИЯ</w:t>
      </w:r>
    </w:p>
    <w:p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>Рузаевский муниципальный район</w:t>
      </w:r>
    </w:p>
    <w:p w:rsidR="004A32B6" w:rsidRDefault="004A32B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>СОВЕТ ДЕПУТАТОВ</w:t>
      </w:r>
    </w:p>
    <w:p w:rsidR="004A32B6" w:rsidRDefault="003C6B8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МОРДОВСКО-ПИШЛИНСКОГО </w:t>
      </w:r>
      <w:r w:rsidR="000B2B16">
        <w:rPr>
          <w:rFonts w:ascii="Times New Roman" w:eastAsia="Times New Roman" w:hAnsi="Times New Roman" w:cs="Times New Roman"/>
          <w:caps/>
          <w:sz w:val="28"/>
        </w:rPr>
        <w:t xml:space="preserve">сельского поселения </w:t>
      </w:r>
    </w:p>
    <w:p w:rsidR="004A32B6" w:rsidRDefault="004A32B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  <w:r w:rsidR="00421D2F">
        <w:rPr>
          <w:rFonts w:ascii="Times New Roman" w:eastAsia="Times New Roman" w:hAnsi="Times New Roman" w:cs="Times New Roman"/>
          <w:b/>
          <w:sz w:val="44"/>
          <w:szCs w:val="44"/>
        </w:rPr>
        <w:t>(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проект</w:t>
      </w:r>
      <w:r w:rsidR="00421D2F">
        <w:rPr>
          <w:rFonts w:ascii="Times New Roman" w:eastAsia="Times New Roman" w:hAnsi="Times New Roman" w:cs="Times New Roman"/>
          <w:b/>
          <w:sz w:val="44"/>
          <w:szCs w:val="44"/>
        </w:rPr>
        <w:t>)</w:t>
      </w:r>
    </w:p>
    <w:p w:rsidR="004A32B6" w:rsidRDefault="004A32B6">
      <w:pPr>
        <w:pStyle w:val="a4"/>
        <w:ind w:left="-426" w:right="-143"/>
        <w:jc w:val="both"/>
        <w:rPr>
          <w:rFonts w:ascii="Times New Roman" w:eastAsia="Times New Roman" w:hAnsi="Times New Roman"/>
        </w:rPr>
      </w:pPr>
    </w:p>
    <w:p w:rsidR="004A32B6" w:rsidRDefault="000B2B1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___.06.2022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 ____</w:t>
      </w:r>
    </w:p>
    <w:p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участия в организациях межмуниципального сотрудничества</w:t>
      </w:r>
    </w:p>
    <w:p w:rsidR="004A32B6" w:rsidRDefault="000B2B16">
      <w:pPr>
        <w:pStyle w:val="consnormal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4A32B6" w:rsidRDefault="000B2B1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4A32B6" w:rsidRDefault="004A32B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="003C6B8A">
        <w:rPr>
          <w:rFonts w:ascii="Times New Roman" w:eastAsia="Times New Roman" w:hAnsi="Times New Roman" w:cs="Times New Roman"/>
          <w:b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4A32B6" w:rsidRDefault="004A32B6">
      <w:pPr>
        <w:pStyle w:val="consnormal"/>
        <w:spacing w:beforeAutospacing="0" w:after="0" w:afterAutospacing="0"/>
        <w:ind w:firstLine="709"/>
        <w:rPr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участия </w:t>
      </w:r>
      <w:proofErr w:type="spellStart"/>
      <w:r w:rsidR="003C6B8A">
        <w:rPr>
          <w:sz w:val="28"/>
          <w:szCs w:val="28"/>
        </w:rPr>
        <w:t>Мордовско-Пишлинского</w:t>
      </w:r>
      <w:proofErr w:type="spellEnd"/>
      <w:r w:rsidR="003C6B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в организациях межмуниципального сотрудничества.</w:t>
      </w:r>
    </w:p>
    <w:p w:rsidR="004A32B6" w:rsidRDefault="000B2B1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 в  информационном бюллетене администрации</w:t>
      </w:r>
      <w:r w:rsidR="003C6B8A" w:rsidRPr="003C6B8A">
        <w:rPr>
          <w:sz w:val="28"/>
          <w:szCs w:val="28"/>
        </w:rPr>
        <w:t xml:space="preserve"> </w:t>
      </w:r>
      <w:proofErr w:type="spellStart"/>
      <w:r w:rsidR="003C6B8A" w:rsidRP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4A32B6" w:rsidRDefault="004A32B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</w:p>
    <w:p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3C6B8A" w:rsidRP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</w:p>
    <w:p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  </w:t>
      </w:r>
      <w:r w:rsidR="003C6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Ю.М. </w:t>
      </w:r>
      <w:proofErr w:type="spellStart"/>
      <w:r w:rsidR="003C6B8A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Гирчева</w:t>
      </w:r>
      <w:proofErr w:type="spellEnd"/>
    </w:p>
    <w:p w:rsidR="004A32B6" w:rsidRDefault="000B2B16">
      <w:pPr>
        <w:pStyle w:val="consnormal"/>
        <w:spacing w:beforeAutospacing="0" w:after="0" w:afterAutospacing="0"/>
      </w:pPr>
      <w:r>
        <w:br w:type="page"/>
      </w:r>
    </w:p>
    <w:p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3C6B8A">
        <w:rPr>
          <w:sz w:val="28"/>
          <w:szCs w:val="28"/>
        </w:rPr>
        <w:t>Мордовско-Пишлинского</w:t>
      </w:r>
      <w:proofErr w:type="spellEnd"/>
      <w:r w:rsidR="003C6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4A32B6" w:rsidRDefault="000B2B16">
      <w:pPr>
        <w:pStyle w:val="consnormal"/>
        <w:spacing w:beforeAutospacing="0" w:after="0" w:afterAutospacing="0"/>
        <w:ind w:firstLine="5387"/>
        <w:jc w:val="right"/>
      </w:pPr>
      <w:r>
        <w:rPr>
          <w:sz w:val="28"/>
          <w:szCs w:val="28"/>
        </w:rPr>
        <w:t>от ______.2022   № __</w:t>
      </w:r>
    </w:p>
    <w:p w:rsidR="004A32B6" w:rsidRDefault="004A32B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</w:p>
    <w:p w:rsidR="004A32B6" w:rsidRDefault="000B2B16">
      <w:pPr>
        <w:pStyle w:val="consnormal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участия</w:t>
      </w:r>
      <w:r w:rsidR="003C6B8A" w:rsidRPr="003C6B8A">
        <w:rPr>
          <w:sz w:val="28"/>
          <w:szCs w:val="28"/>
        </w:rPr>
        <w:t xml:space="preserve"> </w:t>
      </w:r>
      <w:proofErr w:type="spellStart"/>
      <w:r w:rsidR="003C6B8A" w:rsidRPr="003C6B8A">
        <w:rPr>
          <w:b/>
          <w:sz w:val="28"/>
          <w:szCs w:val="28"/>
        </w:rPr>
        <w:t>Мордовско-Пишлинского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3C6B8A">
        <w:rPr>
          <w:b/>
          <w:bCs/>
          <w:sz w:val="28"/>
          <w:szCs w:val="28"/>
        </w:rPr>
        <w:t>сельского  поселения</w:t>
      </w:r>
      <w:r>
        <w:rPr>
          <w:b/>
          <w:bCs/>
          <w:sz w:val="28"/>
          <w:szCs w:val="28"/>
        </w:rPr>
        <w:t xml:space="preserve">  в организациях межмуниципального сотрудничества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(далее – Положение)</w:t>
      </w:r>
    </w:p>
    <w:p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обществах с ограниченной ответственностью», иными нормативными правовыми актами Российской Федерации, Уставом </w:t>
      </w:r>
      <w:proofErr w:type="spellStart"/>
      <w:r w:rsidR="007709C8" w:rsidRP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sz w:val="28"/>
          <w:szCs w:val="28"/>
        </w:rPr>
        <w:t xml:space="preserve"> </w:t>
      </w:r>
      <w:r w:rsidR="003C6B8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3C6B8A">
        <w:rPr>
          <w:rFonts w:ascii="Times New Roman" w:hAnsi="Times New Roman" w:cs="Times New Roman"/>
          <w:sz w:val="28"/>
          <w:szCs w:val="28"/>
        </w:rPr>
        <w:t>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муниципальными нормативными правовыми актами</w:t>
      </w:r>
      <w:r w:rsidR="003C6B8A" w:rsidRPr="003C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процедуру участия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об участии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организациях межмуниципального сотрудничества принимается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решения об участии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может быть внесен на рассмотрение Совета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Главой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депутатами Совета</w:t>
      </w:r>
      <w:r w:rsidR="003C6B8A" w:rsidRPr="003C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количестве 70% от общего числа избранных депутатов Совета</w:t>
      </w:r>
      <w:r w:rsidR="003C6B8A" w:rsidRPr="003C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Проект решения об участии</w:t>
      </w:r>
      <w:r w:rsidR="003C6B8A" w:rsidRPr="003C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прилагаются следующие документы: 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финансово-экономическое обоснование.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принятие решения об участии</w:t>
      </w:r>
      <w:r w:rsidR="003C6B8A" w:rsidRPr="003C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межмуниципального сотрудничества влечет необходимость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подлежащего внесению в качестве имущественного взноса, и (или) источники финансирования соответствующих расходов;</w:t>
      </w:r>
      <w:proofErr w:type="gramEnd"/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внесшее проект решения об участии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Рассмотрение проекта решения об участии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осуществляется в порядке и сроки, установленные регламентом работы Совета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особенностями установленными настоящим порядком.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Совет </w:t>
      </w:r>
      <w:proofErr w:type="spellStart"/>
      <w:r w:rsidR="003C6B8A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3C6B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B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не все документы, предусмотренные пунктом 6 настоящего Порядка.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организациях межмуниципального сотрудничества, осуществляется администрацией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 Глава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иное лицо по поручению Главы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интересы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отношениях с другими муниципальными образованиями по вопросам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вправе поручить представление интересов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органах управления организации межмуниципального сотрудничества муниципальным служащим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 а также иным лицам в соответствии с законодательством Российской Федерации.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интересов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управления организацией межмуниципального сотрудничества осуществляется Главой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муниципальными служащими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безвозмездно.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Расходы, связанные с участием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организациях межмуниципального сотрудничества, предусматриваются в бюджете</w:t>
      </w:r>
      <w:r w:rsidR="007709C8" w:rsidRPr="0077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9C8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="00770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период.</w:t>
      </w:r>
    </w:p>
    <w:p w:rsidR="004A32B6" w:rsidRDefault="004A32B6">
      <w:pPr>
        <w:ind w:left="9072"/>
        <w:jc w:val="both"/>
      </w:pPr>
    </w:p>
    <w:p w:rsidR="004A32B6" w:rsidRDefault="004A32B6">
      <w:pPr>
        <w:jc w:val="both"/>
        <w:rPr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> </w:t>
      </w:r>
    </w:p>
    <w:sectPr w:rsidR="004A32B6">
      <w:pgSz w:w="11906" w:h="16838"/>
      <w:pgMar w:top="709" w:right="85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0C" w:rsidRDefault="00EB610C">
      <w:pPr>
        <w:spacing w:after="0" w:line="240" w:lineRule="auto"/>
      </w:pPr>
      <w:r>
        <w:separator/>
      </w:r>
    </w:p>
  </w:endnote>
  <w:endnote w:type="continuationSeparator" w:id="0">
    <w:p w:rsidR="00EB610C" w:rsidRDefault="00E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0C" w:rsidRDefault="00EB610C">
      <w:pPr>
        <w:spacing w:after="0" w:line="240" w:lineRule="auto"/>
      </w:pPr>
      <w:r>
        <w:separator/>
      </w:r>
    </w:p>
  </w:footnote>
  <w:footnote w:type="continuationSeparator" w:id="0">
    <w:p w:rsidR="00EB610C" w:rsidRDefault="00EB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6"/>
    <w:rsid w:val="000B2B16"/>
    <w:rsid w:val="000B705C"/>
    <w:rsid w:val="003C6B8A"/>
    <w:rsid w:val="00421D2F"/>
    <w:rsid w:val="004A32B6"/>
    <w:rsid w:val="007709C8"/>
    <w:rsid w:val="0080324E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Гиперссылка1"/>
    <w:basedOn w:val="a0"/>
    <w:qFormat/>
  </w:style>
  <w:style w:type="character" w:customStyle="1" w:styleId="af8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Гиперссылка1"/>
    <w:basedOn w:val="a0"/>
    <w:qFormat/>
  </w:style>
  <w:style w:type="character" w:customStyle="1" w:styleId="af8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glava</cp:lastModifiedBy>
  <cp:revision>2</cp:revision>
  <cp:lastPrinted>2022-06-23T13:00:00Z</cp:lastPrinted>
  <dcterms:created xsi:type="dcterms:W3CDTF">2022-06-28T11:38:00Z</dcterms:created>
  <dcterms:modified xsi:type="dcterms:W3CDTF">2022-06-28T11:38:00Z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